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390" w:lineRule="atLeast"/>
        <w:jc w:val="center"/>
        <w:textAlignment w:val="baseline"/>
        <w:outlineLvl w:val="0"/>
        <w:rPr>
          <w:rFonts w:ascii="Tahoma" w:hAnsi="Tahoma" w:eastAsia="宋体" w:cs="Tahoma"/>
          <w:color w:val="333333"/>
          <w:kern w:val="0"/>
          <w:sz w:val="18"/>
          <w:szCs w:val="18"/>
        </w:rPr>
      </w:pPr>
      <w:r>
        <w:rPr>
          <w:rFonts w:hint="eastAsia" w:ascii="微软雅黑" w:hAnsi="微软雅黑" w:eastAsia="微软雅黑" w:cs="宋体"/>
          <w:b/>
          <w:bCs/>
          <w:color w:val="0A5BAC"/>
          <w:kern w:val="36"/>
          <w:sz w:val="36"/>
          <w:szCs w:val="36"/>
        </w:rPr>
        <w:t>商务英语</w:t>
      </w:r>
      <w:r>
        <w:rPr>
          <w:rFonts w:hint="eastAsia" w:ascii="微软雅黑" w:hAnsi="微软雅黑" w:eastAsia="微软雅黑" w:cs="宋体"/>
          <w:b/>
          <w:bCs/>
          <w:color w:val="0A5BAC"/>
          <w:kern w:val="36"/>
          <w:sz w:val="36"/>
          <w:szCs w:val="36"/>
          <w:lang w:eastAsia="zh-CN"/>
        </w:rPr>
        <w:t>——</w:t>
      </w:r>
      <w:r>
        <w:rPr>
          <w:rFonts w:hint="eastAsia" w:ascii="微软雅黑" w:hAnsi="微软雅黑" w:eastAsia="微软雅黑" w:cs="宋体"/>
          <w:b/>
          <w:bCs/>
          <w:color w:val="0A5BAC"/>
          <w:kern w:val="36"/>
          <w:sz w:val="36"/>
          <w:szCs w:val="36"/>
        </w:rPr>
        <w:t>省级特色专业(专业代码:</w:t>
      </w:r>
      <w:r>
        <w:t xml:space="preserve"> </w:t>
      </w:r>
      <w:r>
        <w:rPr>
          <w:rFonts w:ascii="微软雅黑" w:hAnsi="微软雅黑" w:eastAsia="微软雅黑" w:cs="宋体"/>
          <w:b/>
          <w:bCs/>
          <w:color w:val="0A5BAC"/>
          <w:kern w:val="36"/>
          <w:sz w:val="36"/>
          <w:szCs w:val="36"/>
        </w:rPr>
        <w:t>570201</w:t>
      </w:r>
      <w:r>
        <w:rPr>
          <w:rFonts w:hint="eastAsia" w:ascii="微软雅黑" w:hAnsi="微软雅黑" w:eastAsia="微软雅黑" w:cs="宋体"/>
          <w:b/>
          <w:bCs/>
          <w:color w:val="0A5BAC"/>
          <w:kern w:val="36"/>
          <w:sz w:val="36"/>
          <w:szCs w:val="36"/>
        </w:rPr>
        <w:t>)</w:t>
      </w:r>
    </w:p>
    <w:p>
      <w:pPr>
        <w:widowControl/>
        <w:shd w:val="clear" w:color="auto" w:fill="FFFFFF"/>
        <w:spacing w:after="150" w:line="360" w:lineRule="atLeast"/>
        <w:ind w:firstLine="480"/>
        <w:jc w:val="both"/>
        <w:textAlignment w:val="baseline"/>
        <w:rPr>
          <w:rFonts w:ascii="Tahoma" w:hAnsi="Tahoma" w:eastAsia="宋体" w:cs="Tahoma"/>
          <w:color w:val="333333"/>
          <w:kern w:val="0"/>
          <w:szCs w:val="21"/>
        </w:rPr>
      </w:pPr>
    </w:p>
    <w:p>
      <w:pPr>
        <w:widowControl/>
        <w:shd w:val="clear" w:color="auto" w:fill="FFFFFF"/>
        <w:spacing w:line="480" w:lineRule="atLeast"/>
        <w:ind w:firstLine="420"/>
        <w:jc w:val="both"/>
        <w:rPr>
          <w:rFonts w:hint="eastAsia" w:ascii="微软雅黑" w:hAnsi="微软雅黑" w:eastAsia="微软雅黑" w:cs="微软雅黑"/>
          <w:color w:val="333333"/>
          <w:kern w:val="0"/>
          <w:sz w:val="24"/>
          <w:szCs w:val="24"/>
          <w:highlight w:val="none"/>
          <w:shd w:val="clear" w:color="auto" w:fill="FFFFFF"/>
        </w:rPr>
      </w:pPr>
      <w:r>
        <w:rPr>
          <w:rFonts w:hint="eastAsia" w:ascii="微软雅黑" w:hAnsi="微软雅黑" w:eastAsia="微软雅黑" w:cs="微软雅黑"/>
          <w:color w:val="333333"/>
          <w:kern w:val="0"/>
          <w:sz w:val="24"/>
          <w:szCs w:val="24"/>
          <w:highlight w:val="none"/>
          <w:shd w:val="clear" w:color="auto" w:fill="FFFFFF"/>
        </w:rPr>
        <w:t>【</w:t>
      </w:r>
      <w:r>
        <w:rPr>
          <w:rFonts w:hint="eastAsia" w:ascii="微软雅黑" w:hAnsi="微软雅黑" w:eastAsia="微软雅黑" w:cs="微软雅黑"/>
          <w:color w:val="333333"/>
          <w:kern w:val="0"/>
          <w:sz w:val="24"/>
          <w:szCs w:val="24"/>
          <w:highlight w:val="none"/>
          <w:shd w:val="clear" w:color="auto" w:fill="FFFFFF"/>
          <w:lang w:eastAsia="zh-CN"/>
        </w:rPr>
        <w:t>师资力量</w:t>
      </w:r>
      <w:r>
        <w:rPr>
          <w:rFonts w:hint="eastAsia" w:ascii="微软雅黑" w:hAnsi="微软雅黑" w:eastAsia="微软雅黑" w:cs="微软雅黑"/>
          <w:color w:val="333333"/>
          <w:kern w:val="0"/>
          <w:sz w:val="24"/>
          <w:szCs w:val="24"/>
          <w:highlight w:val="none"/>
          <w:shd w:val="clear" w:color="auto" w:fill="FFFFFF"/>
        </w:rPr>
        <w:t>】</w:t>
      </w:r>
    </w:p>
    <w:p>
      <w:pPr>
        <w:widowControl/>
        <w:shd w:val="clear" w:color="auto" w:fill="FFFFFF"/>
        <w:ind w:firstLine="480"/>
        <w:jc w:val="both"/>
        <w:textAlignment w:val="baseline"/>
        <w:rPr>
          <w:rFonts w:ascii="Tahoma" w:hAnsi="Tahoma" w:eastAsia="宋体" w:cs="Tahoma"/>
          <w:color w:val="333333"/>
          <w:kern w:val="0"/>
          <w:szCs w:val="21"/>
        </w:rPr>
      </w:pPr>
      <w:r>
        <w:rPr>
          <w:rFonts w:hint="eastAsia" w:ascii="宋体" w:hAnsi="宋体" w:eastAsia="宋体" w:cs="Tahoma"/>
          <w:color w:val="333333"/>
          <w:kern w:val="0"/>
          <w:sz w:val="24"/>
          <w:szCs w:val="24"/>
          <w:lang w:eastAsia="zh-CN"/>
        </w:rPr>
        <w:t>商务英语教研室拥有</w:t>
      </w:r>
      <w:r>
        <w:rPr>
          <w:rFonts w:hint="eastAsia" w:ascii="宋体" w:hAnsi="宋体" w:eastAsia="宋体" w:cs="Tahoma"/>
          <w:color w:val="333333"/>
          <w:kern w:val="0"/>
          <w:sz w:val="24"/>
          <w:szCs w:val="24"/>
        </w:rPr>
        <w:t>强大的师资力量和合理的师资结构</w:t>
      </w:r>
      <w:r>
        <w:rPr>
          <w:rFonts w:hint="eastAsia" w:ascii="宋体" w:hAnsi="宋体" w:eastAsia="宋体" w:cs="Tahoma"/>
          <w:color w:val="333333"/>
          <w:kern w:val="0"/>
          <w:sz w:val="24"/>
          <w:szCs w:val="24"/>
          <w:lang w:eastAsia="zh-CN"/>
        </w:rPr>
        <w:t>。教研室</w:t>
      </w:r>
      <w:r>
        <w:rPr>
          <w:rFonts w:hint="eastAsia" w:ascii="宋体" w:hAnsi="宋体" w:eastAsia="宋体" w:cs="Tahoma"/>
          <w:color w:val="333333"/>
          <w:kern w:val="0"/>
          <w:sz w:val="24"/>
          <w:szCs w:val="24"/>
        </w:rPr>
        <w:t>以积极培养现有青年教师为主，多种形式外聘高级人才为辅，逐步建立起一支动手能力强、教学水平与学术造诣高、结构合理、充满活力的师资队伍。校内教师中包含副教授</w:t>
      </w:r>
      <w:r>
        <w:rPr>
          <w:rFonts w:hint="eastAsia" w:ascii="inherit" w:hAnsi="inherit" w:eastAsia="宋体" w:cs="Tahoma"/>
          <w:color w:val="333333"/>
          <w:kern w:val="0"/>
          <w:sz w:val="24"/>
          <w:szCs w:val="24"/>
          <w:lang w:val="en-US" w:eastAsia="zh-CN"/>
        </w:rPr>
        <w:t>5</w:t>
      </w:r>
      <w:r>
        <w:rPr>
          <w:rFonts w:hint="eastAsia" w:ascii="宋体" w:hAnsi="宋体" w:eastAsia="宋体" w:cs="Tahoma"/>
          <w:color w:val="333333"/>
          <w:kern w:val="0"/>
          <w:sz w:val="24"/>
          <w:szCs w:val="24"/>
        </w:rPr>
        <w:t>人，讲师</w:t>
      </w:r>
      <w:r>
        <w:rPr>
          <w:rFonts w:ascii="inherit" w:hAnsi="inherit" w:eastAsia="宋体" w:cs="Tahoma"/>
          <w:color w:val="333333"/>
          <w:kern w:val="0"/>
          <w:sz w:val="24"/>
          <w:szCs w:val="24"/>
        </w:rPr>
        <w:t>1</w:t>
      </w:r>
      <w:r>
        <w:rPr>
          <w:rFonts w:hint="eastAsia" w:ascii="宋体" w:hAnsi="宋体" w:eastAsia="宋体" w:cs="Tahoma"/>
          <w:color w:val="333333"/>
          <w:kern w:val="0"/>
          <w:sz w:val="24"/>
          <w:szCs w:val="24"/>
        </w:rPr>
        <w:t>人</w:t>
      </w:r>
      <w:r>
        <w:rPr>
          <w:rFonts w:hint="eastAsia" w:ascii="宋体" w:hAnsi="宋体" w:eastAsia="宋体" w:cs="Tahoma"/>
          <w:color w:val="333333"/>
          <w:kern w:val="0"/>
          <w:sz w:val="24"/>
          <w:szCs w:val="24"/>
          <w:lang w:eastAsia="zh-CN"/>
        </w:rPr>
        <w:t>。</w:t>
      </w:r>
      <w:r>
        <w:rPr>
          <w:rFonts w:hint="eastAsia" w:ascii="宋体" w:hAnsi="宋体" w:eastAsia="宋体" w:cs="Tahoma"/>
          <w:color w:val="333333"/>
          <w:kern w:val="0"/>
          <w:sz w:val="24"/>
          <w:szCs w:val="24"/>
        </w:rPr>
        <w:t>建立教师参加企业实践的长效机制，</w:t>
      </w:r>
      <w:r>
        <w:rPr>
          <w:rFonts w:hint="eastAsia" w:ascii="inherit" w:hAnsi="inherit" w:eastAsia="宋体" w:cs="Tahoma"/>
          <w:color w:val="333333"/>
          <w:kern w:val="0"/>
          <w:sz w:val="24"/>
          <w:szCs w:val="24"/>
        </w:rPr>
        <w:t>专职教师中</w:t>
      </w:r>
      <w:r>
        <w:rPr>
          <w:rFonts w:ascii="inherit" w:hAnsi="inherit" w:eastAsia="宋体" w:cs="Tahoma"/>
          <w:color w:val="333333"/>
          <w:kern w:val="0"/>
          <w:sz w:val="24"/>
          <w:szCs w:val="24"/>
        </w:rPr>
        <w:t>75%</w:t>
      </w:r>
      <w:r>
        <w:rPr>
          <w:rFonts w:hint="eastAsia" w:ascii="inherit" w:hAnsi="inherit" w:eastAsia="宋体" w:cs="Tahoma"/>
          <w:color w:val="333333"/>
          <w:kern w:val="0"/>
          <w:sz w:val="24"/>
          <w:szCs w:val="24"/>
        </w:rPr>
        <w:t>拥有双师资格证书</w:t>
      </w:r>
      <w:r>
        <w:rPr>
          <w:rFonts w:hint="eastAsia" w:ascii="inherit" w:hAnsi="inherit" w:eastAsia="宋体" w:cs="Tahoma"/>
          <w:color w:val="333333"/>
          <w:kern w:val="0"/>
          <w:sz w:val="24"/>
          <w:szCs w:val="24"/>
          <w:lang w:eastAsia="zh-CN"/>
        </w:rPr>
        <w:t>。</w:t>
      </w:r>
      <w:r>
        <w:rPr>
          <w:rFonts w:ascii="inherit" w:hAnsi="inherit" w:eastAsia="宋体" w:cs="Tahoma"/>
          <w:color w:val="333333"/>
          <w:kern w:val="0"/>
          <w:sz w:val="24"/>
          <w:szCs w:val="24"/>
        </w:rPr>
        <w:t>聘请企业专业技术人员，构建一支</w:t>
      </w:r>
      <w:r>
        <w:rPr>
          <w:rFonts w:hint="eastAsia" w:ascii="inherit" w:hAnsi="inherit" w:eastAsia="宋体" w:cs="Tahoma"/>
          <w:color w:val="333333"/>
          <w:kern w:val="0"/>
          <w:sz w:val="24"/>
          <w:szCs w:val="24"/>
        </w:rPr>
        <w:t>“</w:t>
      </w:r>
      <w:r>
        <w:rPr>
          <w:rFonts w:ascii="inherit" w:hAnsi="inherit" w:eastAsia="宋体" w:cs="Tahoma"/>
          <w:color w:val="333333"/>
          <w:kern w:val="0"/>
          <w:sz w:val="24"/>
          <w:szCs w:val="24"/>
        </w:rPr>
        <w:t>双师</w:t>
      </w:r>
      <w:r>
        <w:rPr>
          <w:rFonts w:hint="eastAsia" w:ascii="inherit" w:hAnsi="inherit" w:eastAsia="宋体" w:cs="Tahoma"/>
          <w:color w:val="333333"/>
          <w:kern w:val="0"/>
          <w:sz w:val="24"/>
          <w:szCs w:val="24"/>
        </w:rPr>
        <w:t>”</w:t>
      </w:r>
      <w:r>
        <w:rPr>
          <w:rFonts w:ascii="inherit" w:hAnsi="inherit" w:eastAsia="宋体" w:cs="Tahoma"/>
          <w:color w:val="333333"/>
          <w:kern w:val="0"/>
          <w:sz w:val="24"/>
          <w:szCs w:val="24"/>
        </w:rPr>
        <w:t>结构专兼结合的教学团队。</w:t>
      </w:r>
    </w:p>
    <w:p>
      <w:pPr>
        <w:widowControl/>
        <w:shd w:val="clear" w:color="auto" w:fill="FFFFFF"/>
        <w:spacing w:line="480" w:lineRule="atLeast"/>
        <w:ind w:firstLine="420"/>
        <w:jc w:val="both"/>
        <w:rPr>
          <w:rFonts w:ascii="微软雅黑" w:hAnsi="微软雅黑" w:eastAsia="微软雅黑" w:cs="微软雅黑"/>
          <w:color w:val="333333"/>
          <w:kern w:val="0"/>
          <w:sz w:val="24"/>
          <w:szCs w:val="24"/>
          <w:highlight w:val="none"/>
          <w:shd w:val="clear" w:color="auto" w:fill="FFFFFF"/>
        </w:rPr>
      </w:pPr>
      <w:r>
        <w:rPr>
          <w:rFonts w:hint="eastAsia" w:ascii="微软雅黑" w:hAnsi="微软雅黑" w:eastAsia="微软雅黑" w:cs="微软雅黑"/>
          <w:color w:val="333333"/>
          <w:kern w:val="0"/>
          <w:sz w:val="24"/>
          <w:szCs w:val="24"/>
          <w:highlight w:val="none"/>
          <w:shd w:val="clear" w:color="auto" w:fill="FFFFFF"/>
        </w:rPr>
        <w:t>【专业</w:t>
      </w:r>
      <w:r>
        <w:rPr>
          <w:rFonts w:hint="eastAsia" w:ascii="微软雅黑" w:hAnsi="微软雅黑" w:eastAsia="微软雅黑" w:cs="微软雅黑"/>
          <w:color w:val="333333"/>
          <w:kern w:val="0"/>
          <w:sz w:val="24"/>
          <w:szCs w:val="24"/>
          <w:highlight w:val="none"/>
          <w:shd w:val="clear" w:color="auto" w:fill="FFFFFF"/>
          <w:lang w:eastAsia="zh-CN"/>
        </w:rPr>
        <w:t>建设</w:t>
      </w:r>
      <w:r>
        <w:rPr>
          <w:rFonts w:hint="eastAsia" w:ascii="微软雅黑" w:hAnsi="微软雅黑" w:eastAsia="微软雅黑" w:cs="微软雅黑"/>
          <w:color w:val="333333"/>
          <w:kern w:val="0"/>
          <w:sz w:val="24"/>
          <w:szCs w:val="24"/>
          <w:highlight w:val="none"/>
          <w:shd w:val="clear" w:color="auto" w:fill="FFFFFF"/>
        </w:rPr>
        <w:t>】</w:t>
      </w:r>
    </w:p>
    <w:p>
      <w:pPr>
        <w:widowControl/>
        <w:shd w:val="clear" w:color="auto" w:fill="FFFFFF"/>
        <w:ind w:firstLine="480"/>
        <w:jc w:val="both"/>
        <w:textAlignment w:val="baseline"/>
        <w:rPr>
          <w:rFonts w:ascii="Tahoma" w:hAnsi="Tahoma" w:eastAsia="宋体" w:cs="Tahoma"/>
          <w:color w:val="333333"/>
          <w:kern w:val="0"/>
          <w:szCs w:val="21"/>
        </w:rPr>
      </w:pPr>
      <w:r>
        <w:rPr>
          <w:rFonts w:hint="eastAsia" w:ascii="宋体" w:hAnsi="宋体" w:eastAsia="宋体" w:cs="Tahoma"/>
          <w:color w:val="333333"/>
          <w:kern w:val="0"/>
          <w:sz w:val="24"/>
          <w:szCs w:val="24"/>
        </w:rPr>
        <w:t>我院商务英语专业自</w:t>
      </w:r>
      <w:r>
        <w:rPr>
          <w:rFonts w:ascii="inherit" w:hAnsi="inherit" w:eastAsia="宋体" w:cs="Tahoma"/>
          <w:color w:val="333333"/>
          <w:kern w:val="0"/>
          <w:sz w:val="24"/>
          <w:szCs w:val="24"/>
        </w:rPr>
        <w:t>2003年开办以来，已有</w:t>
      </w:r>
      <w:r>
        <w:rPr>
          <w:rFonts w:hint="eastAsia" w:ascii="inherit" w:hAnsi="inherit" w:eastAsia="宋体" w:cs="Tahoma"/>
          <w:color w:val="333333"/>
          <w:kern w:val="0"/>
          <w:sz w:val="24"/>
          <w:szCs w:val="24"/>
          <w:lang w:eastAsia="zh-CN"/>
        </w:rPr>
        <w:t>二十年</w:t>
      </w:r>
      <w:r>
        <w:rPr>
          <w:rFonts w:ascii="inherit" w:hAnsi="inherit" w:eastAsia="宋体" w:cs="Tahoma"/>
          <w:color w:val="333333"/>
          <w:kern w:val="0"/>
          <w:sz w:val="24"/>
          <w:szCs w:val="24"/>
        </w:rPr>
        <w:t>办学历史，培养的毕业生2000</w:t>
      </w:r>
      <w:r>
        <w:rPr>
          <w:rFonts w:hint="eastAsia" w:ascii="inherit" w:hAnsi="inherit" w:eastAsia="宋体" w:cs="Tahoma"/>
          <w:color w:val="333333"/>
          <w:kern w:val="0"/>
          <w:sz w:val="24"/>
          <w:szCs w:val="24"/>
          <w:lang w:eastAsia="zh-CN"/>
        </w:rPr>
        <w:t>余</w:t>
      </w:r>
      <w:r>
        <w:rPr>
          <w:rFonts w:ascii="inherit" w:hAnsi="inherit" w:eastAsia="宋体" w:cs="Tahoma"/>
          <w:color w:val="333333"/>
          <w:kern w:val="0"/>
          <w:sz w:val="24"/>
          <w:szCs w:val="24"/>
        </w:rPr>
        <w:t>人，具备了良好的办学基础和办学经验。2009年11月被评为院级特色专业，2014年12月被评为安徽省省级特色专业。</w:t>
      </w:r>
    </w:p>
    <w:p>
      <w:pPr>
        <w:widowControl/>
        <w:shd w:val="clear" w:color="auto" w:fill="FFFFFF"/>
        <w:ind w:firstLine="480"/>
        <w:jc w:val="both"/>
        <w:textAlignment w:val="baseline"/>
        <w:rPr>
          <w:rFonts w:ascii="inherit" w:hAnsi="inherit" w:eastAsia="宋体" w:cs="Tahoma"/>
          <w:color w:val="333333"/>
          <w:kern w:val="0"/>
          <w:sz w:val="24"/>
          <w:szCs w:val="24"/>
        </w:rPr>
      </w:pPr>
      <w:r>
        <w:rPr>
          <w:rFonts w:hint="eastAsia" w:ascii="宋体" w:hAnsi="宋体" w:eastAsia="宋体" w:cs="Tahoma"/>
          <w:color w:val="333333"/>
          <w:kern w:val="0"/>
          <w:sz w:val="24"/>
          <w:szCs w:val="24"/>
        </w:rPr>
        <w:t>为达到理想的教学效果，本专业不断改善实验设备和实验教学条件，为学生提供良好的实训环境。目前有智能化语音实训室</w:t>
      </w:r>
      <w:r>
        <w:rPr>
          <w:rFonts w:ascii="inherit" w:hAnsi="inherit" w:eastAsia="宋体" w:cs="Tahoma"/>
          <w:color w:val="333333"/>
          <w:kern w:val="0"/>
          <w:sz w:val="24"/>
          <w:szCs w:val="24"/>
        </w:rPr>
        <w:t>2</w:t>
      </w:r>
      <w:r>
        <w:rPr>
          <w:rFonts w:hint="eastAsia" w:ascii="宋体" w:hAnsi="宋体" w:eastAsia="宋体" w:cs="Tahoma"/>
          <w:color w:val="333333"/>
          <w:kern w:val="0"/>
          <w:sz w:val="24"/>
          <w:szCs w:val="24"/>
        </w:rPr>
        <w:t>间、商务英语</w:t>
      </w:r>
      <w:r>
        <w:rPr>
          <w:rFonts w:ascii="宋体" w:hAnsi="宋体" w:eastAsia="宋体" w:cs="Tahoma"/>
          <w:color w:val="333333"/>
          <w:kern w:val="0"/>
          <w:sz w:val="24"/>
          <w:szCs w:val="24"/>
        </w:rPr>
        <w:t>综合实训室</w:t>
      </w:r>
      <w:r>
        <w:rPr>
          <w:rFonts w:hint="eastAsia" w:ascii="宋体" w:hAnsi="宋体" w:eastAsia="宋体" w:cs="Tahoma"/>
          <w:color w:val="333333"/>
          <w:kern w:val="0"/>
          <w:sz w:val="24"/>
          <w:szCs w:val="24"/>
        </w:rPr>
        <w:t>2间</w:t>
      </w:r>
      <w:r>
        <w:rPr>
          <w:rFonts w:ascii="宋体" w:hAnsi="宋体" w:eastAsia="宋体" w:cs="Tahoma"/>
          <w:color w:val="333333"/>
          <w:kern w:val="0"/>
          <w:sz w:val="24"/>
          <w:szCs w:val="24"/>
        </w:rPr>
        <w:t>、</w:t>
      </w:r>
      <w:r>
        <w:rPr>
          <w:rFonts w:hint="eastAsia" w:ascii="宋体" w:hAnsi="宋体" w:eastAsia="宋体" w:cs="Tahoma"/>
          <w:color w:val="333333"/>
          <w:kern w:val="0"/>
          <w:sz w:val="24"/>
          <w:szCs w:val="24"/>
        </w:rPr>
        <w:t>商务</w:t>
      </w:r>
      <w:r>
        <w:rPr>
          <w:rFonts w:ascii="宋体" w:hAnsi="宋体" w:eastAsia="宋体" w:cs="Tahoma"/>
          <w:color w:val="333333"/>
          <w:kern w:val="0"/>
          <w:sz w:val="24"/>
          <w:szCs w:val="24"/>
        </w:rPr>
        <w:t>谈判实训室</w:t>
      </w:r>
      <w:r>
        <w:rPr>
          <w:rFonts w:hint="eastAsia" w:ascii="宋体" w:hAnsi="宋体" w:eastAsia="宋体" w:cs="Tahoma"/>
          <w:color w:val="333333"/>
          <w:kern w:val="0"/>
          <w:sz w:val="24"/>
          <w:szCs w:val="24"/>
        </w:rPr>
        <w:t>1间</w:t>
      </w:r>
      <w:r>
        <w:rPr>
          <w:rFonts w:ascii="宋体" w:hAnsi="宋体" w:eastAsia="宋体" w:cs="Tahoma"/>
          <w:color w:val="333333"/>
          <w:kern w:val="0"/>
          <w:sz w:val="24"/>
          <w:szCs w:val="24"/>
        </w:rPr>
        <w:t>，</w:t>
      </w:r>
      <w:r>
        <w:rPr>
          <w:rFonts w:hint="eastAsia" w:ascii="宋体" w:hAnsi="宋体" w:eastAsia="宋体" w:cs="Tahoma"/>
          <w:color w:val="333333"/>
          <w:kern w:val="0"/>
          <w:sz w:val="24"/>
          <w:szCs w:val="24"/>
        </w:rPr>
        <w:t>充分利用网络资源为学生营造全面、立体、真实的语言学习环境，使学生增加对外语语言学习的兴趣和热情，充分促进学生语言学习、商务知识技巧锻炼和各种综合技能的提高。另外还有产教一体化创业孵化中心、形体房等实习实训基地，充分满足学生的实习、实训需求。</w:t>
      </w:r>
    </w:p>
    <w:p>
      <w:pPr>
        <w:widowControl/>
        <w:shd w:val="clear" w:color="auto" w:fill="FFFFFF"/>
        <w:ind w:firstLine="480"/>
        <w:jc w:val="both"/>
        <w:textAlignment w:val="baseline"/>
        <w:rPr>
          <w:rFonts w:ascii="Tahoma" w:hAnsi="Tahoma" w:eastAsia="宋体" w:cs="Tahoma"/>
          <w:color w:val="333333"/>
          <w:kern w:val="0"/>
          <w:szCs w:val="21"/>
        </w:rPr>
      </w:pPr>
      <w:r>
        <w:rPr>
          <w:rFonts w:ascii="Tahoma" w:hAnsi="Tahoma" w:eastAsia="宋体" w:cs="Tahoma"/>
          <w:color w:val="333333"/>
          <w:kern w:val="0"/>
          <w:szCs w:val="21"/>
        </w:rPr>
        <w:drawing>
          <wp:inline distT="0" distB="0" distL="0" distR="0">
            <wp:extent cx="5274310" cy="3956050"/>
            <wp:effectExtent l="0" t="0" r="2540" b="6350"/>
            <wp:docPr id="2" name="图片 2" descr="E:\专业建设\商英专业\专业介绍\商务英语专业招生宣传资料2019.01\商英原图\3-实训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专业建设\商英专业\专业介绍\商务英语专业招生宣传资料2019.01\商英原图\3-实训室.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widowControl/>
        <w:shd w:val="clear" w:color="auto" w:fill="FFFFFF"/>
        <w:ind w:firstLine="480"/>
        <w:jc w:val="both"/>
        <w:textAlignment w:val="baseline"/>
        <w:rPr>
          <w:rFonts w:ascii="Tahoma" w:hAnsi="Tahoma" w:eastAsia="宋体" w:cs="Tahoma"/>
          <w:color w:val="333333"/>
          <w:kern w:val="0"/>
          <w:szCs w:val="21"/>
        </w:rPr>
      </w:pPr>
      <w:r>
        <w:rPr>
          <w:rFonts w:ascii="Tahoma" w:hAnsi="Tahoma" w:eastAsia="宋体" w:cs="Tahoma"/>
          <w:color w:val="333333"/>
          <w:kern w:val="0"/>
          <w:szCs w:val="21"/>
        </w:rPr>
        <w:drawing>
          <wp:inline distT="0" distB="0" distL="0" distR="0">
            <wp:extent cx="5274310" cy="3956050"/>
            <wp:effectExtent l="0" t="0" r="2540" b="6350"/>
            <wp:docPr id="1" name="图片 1" descr="E:\专业建设\商英专业\专业介绍\商务英语专业招生宣传资料2019.01\商英原图\4-实训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专业建设\商英专业\专业介绍\商务英语专业招生宣传资料2019.01\商英原图\4-实训室.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widowControl/>
        <w:shd w:val="clear" w:color="auto" w:fill="FFFFFF"/>
        <w:ind w:firstLine="480"/>
        <w:jc w:val="both"/>
        <w:textAlignment w:val="baseline"/>
        <w:rPr>
          <w:rFonts w:ascii="Tahoma" w:hAnsi="Tahoma" w:eastAsia="宋体" w:cs="Tahoma"/>
          <w:color w:val="333333"/>
          <w:kern w:val="0"/>
          <w:szCs w:val="21"/>
        </w:rPr>
      </w:pPr>
    </w:p>
    <w:p>
      <w:pPr>
        <w:widowControl/>
        <w:shd w:val="clear" w:color="auto" w:fill="FFFFFF"/>
        <w:spacing w:line="480" w:lineRule="atLeast"/>
        <w:ind w:firstLine="420"/>
        <w:jc w:val="both"/>
        <w:rPr>
          <w:rFonts w:ascii="微软雅黑" w:hAnsi="微软雅黑" w:eastAsia="微软雅黑" w:cs="微软雅黑"/>
          <w:color w:val="333333"/>
          <w:kern w:val="0"/>
          <w:sz w:val="24"/>
          <w:szCs w:val="24"/>
          <w:highlight w:val="none"/>
          <w:shd w:val="clear" w:color="auto" w:fill="FFFFFF"/>
        </w:rPr>
      </w:pPr>
      <w:r>
        <w:rPr>
          <w:rFonts w:hint="eastAsia" w:ascii="微软雅黑" w:hAnsi="微软雅黑" w:eastAsia="微软雅黑" w:cs="微软雅黑"/>
          <w:color w:val="333333"/>
          <w:kern w:val="0"/>
          <w:sz w:val="24"/>
          <w:szCs w:val="24"/>
          <w:highlight w:val="none"/>
          <w:shd w:val="clear" w:color="auto" w:fill="FFFFFF"/>
        </w:rPr>
        <w:t>【</w:t>
      </w:r>
      <w:r>
        <w:rPr>
          <w:rFonts w:hint="eastAsia" w:ascii="微软雅黑" w:hAnsi="微软雅黑" w:eastAsia="微软雅黑" w:cs="微软雅黑"/>
          <w:color w:val="333333"/>
          <w:kern w:val="0"/>
          <w:sz w:val="24"/>
          <w:szCs w:val="24"/>
          <w:highlight w:val="none"/>
          <w:shd w:val="clear" w:color="auto" w:fill="FFFFFF"/>
          <w:lang w:eastAsia="zh-CN"/>
        </w:rPr>
        <w:t>课程改革</w:t>
      </w:r>
      <w:r>
        <w:rPr>
          <w:rFonts w:hint="eastAsia" w:ascii="微软雅黑" w:hAnsi="微软雅黑" w:eastAsia="微软雅黑" w:cs="微软雅黑"/>
          <w:color w:val="333333"/>
          <w:kern w:val="0"/>
          <w:sz w:val="24"/>
          <w:szCs w:val="24"/>
          <w:highlight w:val="none"/>
          <w:shd w:val="clear" w:color="auto" w:fill="FFFFFF"/>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both"/>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333333"/>
          <w:kern w:val="0"/>
          <w:sz w:val="24"/>
          <w:szCs w:val="24"/>
        </w:rPr>
        <w:t>专业</w:t>
      </w:r>
      <w:r>
        <w:rPr>
          <w:rFonts w:hint="eastAsia" w:asciiTheme="minorEastAsia" w:hAnsiTheme="minorEastAsia" w:eastAsiaTheme="minorEastAsia" w:cstheme="minorEastAsia"/>
          <w:color w:val="333333"/>
          <w:kern w:val="0"/>
          <w:sz w:val="24"/>
          <w:szCs w:val="24"/>
          <w:lang w:val="en-US" w:eastAsia="zh-CN"/>
        </w:rPr>
        <w:t>坚持</w:t>
      </w:r>
      <w:r>
        <w:rPr>
          <w:rFonts w:hint="eastAsia" w:asciiTheme="minorEastAsia" w:hAnsiTheme="minorEastAsia" w:eastAsiaTheme="minorEastAsia" w:cstheme="minorEastAsia"/>
          <w:color w:val="333333"/>
          <w:kern w:val="0"/>
          <w:sz w:val="24"/>
          <w:szCs w:val="24"/>
        </w:rPr>
        <w:t>“以商务为背景、以英语为平台，以能力为主线、以实践为核心”的人才培养</w:t>
      </w:r>
      <w:r>
        <w:rPr>
          <w:rFonts w:hint="eastAsia" w:asciiTheme="minorEastAsia" w:hAnsiTheme="minorEastAsia" w:eastAsiaTheme="minorEastAsia" w:cstheme="minorEastAsia"/>
          <w:color w:val="333333"/>
          <w:kern w:val="0"/>
          <w:sz w:val="24"/>
          <w:szCs w:val="24"/>
          <w:lang w:val="en-US" w:eastAsia="zh-CN"/>
        </w:rPr>
        <w:t>宗旨</w:t>
      </w:r>
      <w:r>
        <w:rPr>
          <w:rFonts w:hint="eastAsia" w:asciiTheme="minorEastAsia" w:hAnsiTheme="minorEastAsia" w:eastAsiaTheme="minorEastAsia" w:cstheme="minorEastAsia"/>
          <w:color w:val="333333"/>
          <w:kern w:val="0"/>
          <w:sz w:val="24"/>
          <w:szCs w:val="24"/>
        </w:rPr>
        <w:t>，</w:t>
      </w:r>
      <w:r>
        <w:rPr>
          <w:rFonts w:hint="eastAsia" w:asciiTheme="minorEastAsia" w:hAnsiTheme="minorEastAsia" w:eastAsiaTheme="minorEastAsia" w:cstheme="minorEastAsia"/>
          <w:color w:val="333333"/>
          <w:kern w:val="0"/>
          <w:sz w:val="24"/>
          <w:szCs w:val="24"/>
          <w:lang w:val="en-US" w:eastAsia="zh-CN"/>
        </w:rPr>
        <w:t>将“岗课赛证融通”纳入人才培养方案，</w:t>
      </w:r>
      <w:r>
        <w:rPr>
          <w:rFonts w:hint="eastAsia" w:asciiTheme="minorEastAsia" w:hAnsiTheme="minorEastAsia" w:eastAsiaTheme="minorEastAsia" w:cstheme="minorEastAsia"/>
          <w:color w:val="333333"/>
          <w:kern w:val="0"/>
          <w:sz w:val="24"/>
          <w:szCs w:val="24"/>
        </w:rPr>
        <w:t>引入“订单式”培养机制</w:t>
      </w:r>
      <w:r>
        <w:rPr>
          <w:rFonts w:hint="eastAsia" w:asciiTheme="minorEastAsia" w:hAnsiTheme="minorEastAsia" w:eastAsiaTheme="minorEastAsia" w:cstheme="minorEastAsia"/>
          <w:color w:val="333333"/>
          <w:kern w:val="0"/>
          <w:sz w:val="24"/>
          <w:szCs w:val="24"/>
          <w:lang w:eastAsia="zh-CN"/>
        </w:rPr>
        <w:t>，</w:t>
      </w:r>
      <w:r>
        <w:rPr>
          <w:rFonts w:hint="eastAsia" w:asciiTheme="minorEastAsia" w:hAnsiTheme="minorEastAsia" w:eastAsiaTheme="minorEastAsia" w:cstheme="minorEastAsia"/>
          <w:sz w:val="24"/>
          <w:szCs w:val="24"/>
          <w:lang w:val="en-US" w:eastAsia="zh-CN"/>
        </w:rPr>
        <w:t>建立与职业标准对接的课程体系，根据岗位的实际要求设计专业课程内容，将与商务英语专业相关的职业资格证书考核内容、各类职业技能竞赛纳入专业教学。</w:t>
      </w:r>
      <w:r>
        <w:rPr>
          <w:rFonts w:hint="eastAsia" w:asciiTheme="minorEastAsia" w:hAnsiTheme="minorEastAsia" w:eastAsiaTheme="minorEastAsia" w:cstheme="minorEastAsia"/>
          <w:color w:val="333333"/>
          <w:kern w:val="0"/>
          <w:sz w:val="24"/>
          <w:szCs w:val="24"/>
          <w:lang w:val="en-US" w:eastAsia="zh-CN"/>
        </w:rPr>
        <w:t>经过多年的教学实践与探索，</w:t>
      </w:r>
      <w:r>
        <w:rPr>
          <w:rFonts w:hint="eastAsia" w:asciiTheme="minorEastAsia" w:hAnsiTheme="minorEastAsia" w:eastAsiaTheme="minorEastAsia" w:cstheme="minorEastAsia"/>
          <w:sz w:val="24"/>
          <w:szCs w:val="24"/>
          <w:lang w:val="en-US" w:eastAsia="zh-CN"/>
        </w:rPr>
        <w:t>建立了“岗课赛证融通”的四位一体综合育人模式。</w:t>
      </w:r>
    </w:p>
    <w:p>
      <w:pPr>
        <w:widowControl/>
        <w:shd w:val="clear" w:color="auto" w:fill="FFFFFF"/>
        <w:ind w:firstLine="480"/>
        <w:jc w:val="both"/>
        <w:textAlignment w:val="baseline"/>
        <w:rPr>
          <w:rFonts w:ascii="inherit" w:hAnsi="inherit" w:eastAsia="宋体" w:cs="Tahoma"/>
          <w:color w:val="333333"/>
          <w:kern w:val="0"/>
          <w:sz w:val="24"/>
          <w:szCs w:val="24"/>
        </w:rPr>
      </w:pPr>
      <w:r>
        <w:rPr>
          <w:rFonts w:hint="eastAsia" w:ascii="宋体" w:hAnsi="宋体" w:eastAsia="宋体" w:cs="Tahoma"/>
          <w:color w:val="333333"/>
          <w:kern w:val="0"/>
          <w:sz w:val="24"/>
          <w:szCs w:val="24"/>
        </w:rPr>
        <w:t>在职业岗位与典型工作任务分析的基础上，经过反复论证，商务英语专业形成了基础素质课程、专业能力与素质课程、专业拓展课程、专业实践课程四大模块为主的课程体系，其中</w:t>
      </w:r>
      <w:r>
        <w:rPr>
          <w:rFonts w:ascii="inherit" w:hAnsi="inherit" w:eastAsia="宋体" w:cs="Tahoma"/>
          <w:color w:val="333333"/>
          <w:kern w:val="0"/>
          <w:sz w:val="24"/>
          <w:szCs w:val="24"/>
        </w:rPr>
        <w:t>核心课程</w:t>
      </w:r>
      <w:r>
        <w:rPr>
          <w:rFonts w:hint="eastAsia" w:ascii="inherit" w:hAnsi="inherit" w:eastAsia="宋体" w:cs="Tahoma"/>
          <w:color w:val="333333"/>
          <w:kern w:val="0"/>
          <w:sz w:val="24"/>
          <w:szCs w:val="24"/>
        </w:rPr>
        <w:t>为商务英语精读</w:t>
      </w:r>
      <w:r>
        <w:rPr>
          <w:rFonts w:ascii="inherit" w:hAnsi="inherit" w:eastAsia="宋体" w:cs="Tahoma"/>
          <w:color w:val="333333"/>
          <w:kern w:val="0"/>
          <w:sz w:val="24"/>
          <w:szCs w:val="24"/>
        </w:rPr>
        <w:t>、国际贸易实务、</w:t>
      </w:r>
      <w:r>
        <w:rPr>
          <w:rFonts w:hint="eastAsia" w:ascii="inherit" w:hAnsi="inherit" w:eastAsia="宋体" w:cs="Tahoma"/>
          <w:color w:val="333333"/>
          <w:kern w:val="0"/>
          <w:sz w:val="24"/>
          <w:szCs w:val="24"/>
        </w:rPr>
        <w:t>商贸口语</w:t>
      </w:r>
      <w:r>
        <w:rPr>
          <w:rFonts w:ascii="inherit" w:hAnsi="inherit" w:eastAsia="宋体" w:cs="Tahoma"/>
          <w:color w:val="333333"/>
          <w:kern w:val="0"/>
          <w:sz w:val="24"/>
          <w:szCs w:val="24"/>
        </w:rPr>
        <w:t>、外贸函电</w:t>
      </w:r>
      <w:r>
        <w:rPr>
          <w:rFonts w:hint="eastAsia" w:ascii="inherit" w:hAnsi="inherit" w:eastAsia="宋体" w:cs="Tahoma"/>
          <w:color w:val="333333"/>
          <w:kern w:val="0"/>
          <w:sz w:val="24"/>
          <w:szCs w:val="24"/>
        </w:rPr>
        <w:t>、</w:t>
      </w:r>
      <w:r>
        <w:rPr>
          <w:rFonts w:ascii="inherit" w:hAnsi="inherit" w:eastAsia="宋体" w:cs="Tahoma"/>
          <w:color w:val="333333"/>
          <w:kern w:val="0"/>
          <w:sz w:val="24"/>
          <w:szCs w:val="24"/>
        </w:rPr>
        <w:t>国际商务单证实务</w:t>
      </w:r>
      <w:r>
        <w:rPr>
          <w:rFonts w:hint="eastAsia" w:ascii="inherit" w:hAnsi="inherit" w:eastAsia="宋体" w:cs="Tahoma"/>
          <w:color w:val="333333"/>
          <w:kern w:val="0"/>
          <w:sz w:val="24"/>
          <w:szCs w:val="24"/>
        </w:rPr>
        <w:t>和</w:t>
      </w:r>
      <w:r>
        <w:rPr>
          <w:rFonts w:ascii="inherit" w:hAnsi="inherit" w:eastAsia="宋体" w:cs="Tahoma"/>
          <w:color w:val="333333"/>
          <w:kern w:val="0"/>
          <w:sz w:val="24"/>
          <w:szCs w:val="24"/>
        </w:rPr>
        <w:t>跨境电子商务基础</w:t>
      </w:r>
      <w:r>
        <w:rPr>
          <w:rFonts w:hint="eastAsia" w:ascii="inherit" w:hAnsi="inherit" w:eastAsia="宋体" w:cs="Tahoma"/>
          <w:color w:val="333333"/>
          <w:kern w:val="0"/>
          <w:sz w:val="24"/>
          <w:szCs w:val="24"/>
        </w:rPr>
        <w:t>等。</w:t>
      </w:r>
    </w:p>
    <w:p>
      <w:pPr>
        <w:widowControl/>
        <w:shd w:val="clear" w:color="auto" w:fill="FFFFFF"/>
        <w:ind w:firstLine="480"/>
        <w:jc w:val="both"/>
        <w:textAlignment w:val="baseline"/>
        <w:rPr>
          <w:rFonts w:hint="eastAsia" w:ascii="inherit" w:hAnsi="inherit" w:eastAsia="宋体" w:cs="Tahoma"/>
          <w:color w:val="333333"/>
          <w:kern w:val="0"/>
          <w:sz w:val="24"/>
          <w:szCs w:val="24"/>
        </w:rPr>
      </w:pPr>
    </w:p>
    <w:p>
      <w:pPr>
        <w:widowControl/>
        <w:shd w:val="clear" w:color="auto" w:fill="FFFFFF"/>
        <w:spacing w:line="480" w:lineRule="atLeast"/>
        <w:ind w:firstLine="420"/>
        <w:jc w:val="both"/>
        <w:rPr>
          <w:rFonts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w:t>
      </w:r>
      <w:r>
        <w:rPr>
          <w:rFonts w:hint="eastAsia" w:ascii="微软雅黑" w:hAnsi="微软雅黑" w:eastAsia="微软雅黑" w:cs="微软雅黑"/>
          <w:color w:val="333333"/>
          <w:kern w:val="0"/>
          <w:sz w:val="24"/>
          <w:szCs w:val="24"/>
          <w:shd w:val="clear" w:color="auto" w:fill="FFFFFF"/>
          <w:lang w:eastAsia="zh-CN"/>
        </w:rPr>
        <w:t>比赛成绩</w:t>
      </w:r>
      <w:r>
        <w:rPr>
          <w:rFonts w:hint="eastAsia" w:ascii="微软雅黑" w:hAnsi="微软雅黑" w:eastAsia="微软雅黑" w:cs="微软雅黑"/>
          <w:color w:val="333333"/>
          <w:kern w:val="0"/>
          <w:sz w:val="24"/>
          <w:szCs w:val="24"/>
          <w:shd w:val="clear" w:color="auto" w:fill="FFFFFF"/>
        </w:rPr>
        <w:t>】</w:t>
      </w:r>
    </w:p>
    <w:p>
      <w:pPr>
        <w:widowControl/>
        <w:shd w:val="clear" w:color="auto" w:fill="FFFFFF"/>
        <w:ind w:firstLine="480"/>
        <w:jc w:val="both"/>
        <w:textAlignment w:val="baseline"/>
        <w:rPr>
          <w:rFonts w:ascii="宋体" w:hAnsi="宋体" w:eastAsia="宋体" w:cs="Tahoma"/>
          <w:color w:val="333333"/>
          <w:kern w:val="0"/>
          <w:sz w:val="24"/>
          <w:szCs w:val="24"/>
        </w:rPr>
      </w:pPr>
      <w:r>
        <w:rPr>
          <w:rFonts w:hint="eastAsia" w:ascii="宋体" w:hAnsi="宋体" w:eastAsia="宋体" w:cs="Tahoma"/>
          <w:color w:val="333333"/>
          <w:kern w:val="0"/>
          <w:sz w:val="24"/>
          <w:szCs w:val="24"/>
        </w:rPr>
        <w:t>近年来，在学院领导的关怀指导、参赛师生的共同努力下，本专业在各类赛事上取得丰硕成果。</w:t>
      </w:r>
    </w:p>
    <w:tbl>
      <w:tblPr>
        <w:tblStyle w:val="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75"/>
        <w:gridCol w:w="170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ascii="Tahoma" w:hAnsi="Tahoma" w:eastAsia="宋体" w:cs="Tahoma"/>
                <w:color w:val="333333"/>
                <w:kern w:val="0"/>
                <w:szCs w:val="21"/>
              </w:rPr>
            </w:pPr>
            <w:r>
              <w:rPr>
                <w:rFonts w:hint="eastAsia" w:ascii="Tahoma" w:hAnsi="Tahoma" w:eastAsia="宋体" w:cs="Tahoma"/>
                <w:color w:val="333333"/>
                <w:kern w:val="0"/>
                <w:szCs w:val="21"/>
              </w:rPr>
              <w:t>序号</w:t>
            </w:r>
          </w:p>
        </w:tc>
        <w:tc>
          <w:tcPr>
            <w:tcW w:w="1275" w:type="dxa"/>
          </w:tcPr>
          <w:p>
            <w:pPr>
              <w:widowControl/>
              <w:jc w:val="both"/>
              <w:textAlignment w:val="baseline"/>
              <w:rPr>
                <w:rFonts w:hint="eastAsia" w:ascii="Tahoma" w:hAnsi="Tahoma" w:eastAsia="宋体" w:cs="Tahoma"/>
                <w:color w:val="333333"/>
                <w:kern w:val="0"/>
                <w:szCs w:val="21"/>
              </w:rPr>
            </w:pPr>
            <w:r>
              <w:rPr>
                <w:rFonts w:hint="eastAsia" w:ascii="Tahoma" w:hAnsi="Tahoma" w:eastAsia="宋体" w:cs="Tahoma"/>
                <w:color w:val="333333"/>
                <w:kern w:val="0"/>
                <w:szCs w:val="21"/>
              </w:rPr>
              <w:t>时间（年</w:t>
            </w:r>
            <w:r>
              <w:rPr>
                <w:rFonts w:ascii="Tahoma" w:hAnsi="Tahoma" w:eastAsia="宋体" w:cs="Tahoma"/>
                <w:color w:val="333333"/>
                <w:kern w:val="0"/>
                <w:szCs w:val="21"/>
              </w:rPr>
              <w:t>）</w:t>
            </w:r>
          </w:p>
        </w:tc>
        <w:tc>
          <w:tcPr>
            <w:tcW w:w="1701" w:type="dxa"/>
          </w:tcPr>
          <w:p>
            <w:pPr>
              <w:widowControl/>
              <w:jc w:val="both"/>
              <w:textAlignment w:val="baseline"/>
              <w:rPr>
                <w:rFonts w:hint="eastAsia" w:ascii="Tahoma" w:hAnsi="Tahoma" w:eastAsia="宋体" w:cs="Tahoma"/>
                <w:color w:val="333333"/>
                <w:kern w:val="0"/>
                <w:szCs w:val="21"/>
              </w:rPr>
            </w:pPr>
            <w:r>
              <w:rPr>
                <w:rFonts w:hint="eastAsia" w:ascii="Tahoma" w:hAnsi="Tahoma" w:eastAsia="宋体" w:cs="Tahoma"/>
                <w:color w:val="333333"/>
                <w:kern w:val="0"/>
                <w:szCs w:val="21"/>
              </w:rPr>
              <w:t>获得</w:t>
            </w:r>
            <w:r>
              <w:rPr>
                <w:rFonts w:ascii="Tahoma" w:hAnsi="Tahoma" w:eastAsia="宋体" w:cs="Tahoma"/>
                <w:color w:val="333333"/>
                <w:kern w:val="0"/>
                <w:szCs w:val="21"/>
              </w:rPr>
              <w:t>奖项</w:t>
            </w:r>
          </w:p>
        </w:tc>
        <w:tc>
          <w:tcPr>
            <w:tcW w:w="4111" w:type="dxa"/>
          </w:tcPr>
          <w:p>
            <w:pPr>
              <w:widowControl/>
              <w:jc w:val="both"/>
              <w:textAlignment w:val="baseline"/>
              <w:rPr>
                <w:rFonts w:hint="eastAsia" w:ascii="Tahoma" w:hAnsi="Tahoma" w:eastAsia="宋体" w:cs="Tahoma"/>
                <w:color w:val="333333"/>
                <w:kern w:val="0"/>
                <w:szCs w:val="21"/>
              </w:rPr>
            </w:pPr>
            <w:r>
              <w:rPr>
                <w:rFonts w:hint="eastAsia" w:ascii="Tahoma" w:hAnsi="Tahoma" w:eastAsia="宋体" w:cs="Tahoma"/>
                <w:color w:val="333333"/>
                <w:kern w:val="0"/>
                <w:szCs w:val="21"/>
              </w:rPr>
              <w:t>比赛名称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1</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2013</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全国大学生英语竞赛安徽赛区</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2</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2016</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安徽省职业院校技能大赛（高职组）英语口语专业组比赛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3</w:t>
            </w:r>
          </w:p>
        </w:tc>
        <w:tc>
          <w:tcPr>
            <w:tcW w:w="1275" w:type="dxa"/>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2016</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安徽省大学生国际贸易综合技能大赛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4</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2017</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安徽省二</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安徽省职业院校技能大赛（高职组）互联网</w:t>
            </w:r>
            <w:r>
              <w:rPr>
                <w:rFonts w:cs="Tahoma" w:asciiTheme="minorEastAsia" w:hAnsiTheme="minorEastAsia"/>
                <w:color w:val="333333"/>
                <w:kern w:val="0"/>
                <w:szCs w:val="21"/>
              </w:rPr>
              <w:t>+国际贸易综合技能</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5</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2017</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安徽省三</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安徽省职业院校技能大赛（高职组）英语口语专业组比赛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6</w:t>
            </w:r>
          </w:p>
        </w:tc>
        <w:tc>
          <w:tcPr>
            <w:tcW w:w="1275" w:type="dxa"/>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2017</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安徽省二</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安徽省大学生国际贸易综合技能大赛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7</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2017</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全国大学生英语竞赛安徽赛区</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8</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2017</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第八届</w:t>
            </w:r>
            <w:r>
              <w:rPr>
                <w:rFonts w:hint="eastAsia" w:cs="Tahoma" w:asciiTheme="minorEastAsia" w:hAnsiTheme="minorEastAsia"/>
                <w:color w:val="333333"/>
                <w:kern w:val="0"/>
                <w:szCs w:val="21"/>
              </w:rPr>
              <w:t>“</w:t>
            </w:r>
            <w:r>
              <w:rPr>
                <w:rFonts w:cs="Tahoma" w:asciiTheme="minorEastAsia" w:hAnsiTheme="minorEastAsia"/>
                <w:color w:val="333333"/>
                <w:kern w:val="0"/>
                <w:szCs w:val="21"/>
              </w:rPr>
              <w:t>外研社杯</w:t>
            </w:r>
            <w:r>
              <w:rPr>
                <w:rFonts w:hint="eastAsia" w:cs="Tahoma" w:asciiTheme="minorEastAsia" w:hAnsiTheme="minorEastAsia"/>
                <w:color w:val="333333"/>
                <w:kern w:val="0"/>
                <w:szCs w:val="21"/>
              </w:rPr>
              <w:t>”</w:t>
            </w:r>
            <w:r>
              <w:rPr>
                <w:rFonts w:cs="Tahoma" w:asciiTheme="minorEastAsia" w:hAnsiTheme="minorEastAsia"/>
                <w:color w:val="333333"/>
                <w:kern w:val="0"/>
                <w:szCs w:val="21"/>
              </w:rPr>
              <w:t>全国高职高专英语写作大赛</w:t>
            </w:r>
            <w:r>
              <w:rPr>
                <w:rFonts w:hint="eastAsia" w:cs="Tahoma" w:asciiTheme="minorEastAsia" w:hAnsiTheme="minorEastAsia"/>
                <w:color w:val="333333"/>
                <w:kern w:val="0"/>
                <w:szCs w:val="21"/>
              </w:rPr>
              <w:t>安徽</w:t>
            </w:r>
            <w:r>
              <w:rPr>
                <w:rFonts w:cs="Tahoma" w:asciiTheme="minorEastAsia" w:hAnsiTheme="minorEastAsia"/>
                <w:color w:val="333333"/>
                <w:kern w:val="0"/>
                <w:szCs w:val="21"/>
              </w:rPr>
              <w:t>赛区</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9</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2018</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安徽省二</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安徽省职业院校技能大赛（高职组）互联网</w:t>
            </w:r>
            <w:r>
              <w:rPr>
                <w:rFonts w:cs="Tahoma" w:asciiTheme="minorEastAsia" w:hAnsiTheme="minorEastAsia"/>
                <w:color w:val="333333"/>
                <w:kern w:val="0"/>
                <w:szCs w:val="21"/>
              </w:rPr>
              <w:t>+国际贸易综合技能</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10</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2018</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安徽省三</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安徽省职业院校技能大赛（高职组）英语口语专业组比赛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11</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2018</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全国大学生英语竞赛安徽赛区</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12</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2019</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安徽省二</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安徽省职业院校技能大赛（高职组）英语口语专业组比赛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13</w:t>
            </w:r>
          </w:p>
        </w:tc>
        <w:tc>
          <w:tcPr>
            <w:tcW w:w="1275" w:type="dxa"/>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2019</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安徽省大学生国际贸易综合技能大赛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14</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2019</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w:t>
            </w:r>
            <w:r>
              <w:rPr>
                <w:rFonts w:cs="Tahoma" w:asciiTheme="minorEastAsia" w:hAnsiTheme="minorEastAsia"/>
                <w:color w:val="333333"/>
                <w:kern w:val="0"/>
                <w:szCs w:val="21"/>
              </w:rPr>
              <w:t>一等奖</w:t>
            </w:r>
          </w:p>
        </w:tc>
        <w:tc>
          <w:tcPr>
            <w:tcW w:w="4111"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全国大学生英语竞赛安徽赛区</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15</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2020</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安徽省三</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安徽省职业院校技能大赛（高职组）互联网</w:t>
            </w:r>
            <w:r>
              <w:rPr>
                <w:rFonts w:cs="Tahoma" w:asciiTheme="minorEastAsia" w:hAnsiTheme="minorEastAsia"/>
                <w:color w:val="333333"/>
                <w:kern w:val="0"/>
                <w:szCs w:val="21"/>
              </w:rPr>
              <w:t>+国际贸易综合技能</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16</w:t>
            </w:r>
          </w:p>
        </w:tc>
        <w:tc>
          <w:tcPr>
            <w:tcW w:w="1275" w:type="dxa"/>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2020</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安徽省二</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安徽省大学生国际贸易综合技能大赛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17</w:t>
            </w:r>
          </w:p>
        </w:tc>
        <w:tc>
          <w:tcPr>
            <w:tcW w:w="1275" w:type="dxa"/>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2021</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安徽省一</w:t>
            </w:r>
            <w:r>
              <w:rPr>
                <w:rFonts w:cs="Tahoma" w:asciiTheme="minorEastAsia" w:hAnsiTheme="minorEastAsia"/>
                <w:color w:val="333333"/>
                <w:kern w:val="0"/>
                <w:szCs w:val="21"/>
              </w:rPr>
              <w:t>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安徽省大学生国际贸易综合技能大赛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1</w:t>
            </w:r>
            <w:r>
              <w:rPr>
                <w:rFonts w:hint="eastAsia" w:cs="Tahoma" w:asciiTheme="minorEastAsia" w:hAnsiTheme="minorEastAsia"/>
                <w:color w:val="333333"/>
                <w:kern w:val="0"/>
                <w:szCs w:val="21"/>
              </w:rPr>
              <w:t>8</w:t>
            </w:r>
          </w:p>
        </w:tc>
        <w:tc>
          <w:tcPr>
            <w:tcW w:w="1275" w:type="dxa"/>
          </w:tcPr>
          <w:p>
            <w:pPr>
              <w:widowControl/>
              <w:jc w:val="both"/>
              <w:textAlignment w:val="baseline"/>
              <w:rPr>
                <w:rFonts w:hint="eastAsia" w:cs="Tahoma" w:asciiTheme="minorEastAsia" w:hAnsiTheme="minorEastAsia"/>
                <w:color w:val="333333"/>
                <w:kern w:val="0"/>
                <w:szCs w:val="21"/>
              </w:rPr>
            </w:pPr>
            <w:r>
              <w:rPr>
                <w:rFonts w:cs="Tahoma" w:asciiTheme="minorEastAsia" w:hAnsiTheme="minorEastAsia"/>
                <w:color w:val="333333"/>
                <w:kern w:val="0"/>
                <w:szCs w:val="21"/>
              </w:rPr>
              <w:t>2021</w:t>
            </w:r>
            <w:r>
              <w:rPr>
                <w:rFonts w:hint="eastAsia" w:cs="Tahoma" w:asciiTheme="minorEastAsia" w:hAnsiTheme="minorEastAsia"/>
                <w:color w:val="333333"/>
                <w:kern w:val="0"/>
                <w:szCs w:val="21"/>
              </w:rPr>
              <w:t>年</w:t>
            </w:r>
          </w:p>
        </w:tc>
        <w:tc>
          <w:tcPr>
            <w:tcW w:w="170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全国</w:t>
            </w:r>
            <w:r>
              <w:rPr>
                <w:rFonts w:cs="Tahoma" w:asciiTheme="minorEastAsia" w:hAnsiTheme="minorEastAsia"/>
                <w:color w:val="333333"/>
                <w:kern w:val="0"/>
                <w:szCs w:val="21"/>
              </w:rPr>
              <w:t>二等奖</w:t>
            </w:r>
          </w:p>
        </w:tc>
        <w:tc>
          <w:tcPr>
            <w:tcW w:w="4111" w:type="dxa"/>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全国职业院校技能大赛（高职组）英语口语专业组比赛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default" w:cs="Tahoma" w:asciiTheme="minorEastAsia" w:hAnsiTheme="minorEastAsia" w:eastAsiaTheme="minorEastAsia"/>
                <w:color w:val="333333"/>
                <w:kern w:val="0"/>
                <w:szCs w:val="21"/>
                <w:lang w:val="en-US" w:eastAsia="zh-CN"/>
              </w:rPr>
            </w:pPr>
            <w:r>
              <w:rPr>
                <w:rFonts w:hint="eastAsia" w:cs="Tahoma" w:asciiTheme="minorEastAsia" w:hAnsiTheme="minorEastAsia"/>
                <w:color w:val="333333"/>
                <w:kern w:val="0"/>
                <w:szCs w:val="21"/>
                <w:lang w:val="en-US" w:eastAsia="zh-CN"/>
              </w:rPr>
              <w:t>19</w:t>
            </w:r>
          </w:p>
        </w:tc>
        <w:tc>
          <w:tcPr>
            <w:tcW w:w="1275" w:type="dxa"/>
            <w:vAlign w:val="top"/>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202</w:t>
            </w:r>
            <w:r>
              <w:rPr>
                <w:rFonts w:hint="eastAsia" w:cs="Tahoma" w:asciiTheme="minorEastAsia" w:hAnsiTheme="minorEastAsia"/>
                <w:color w:val="333333"/>
                <w:kern w:val="0"/>
                <w:szCs w:val="21"/>
                <w:lang w:val="en-US" w:eastAsia="zh-CN"/>
              </w:rPr>
              <w:t>2</w:t>
            </w:r>
            <w:r>
              <w:rPr>
                <w:rFonts w:hint="eastAsia" w:cs="Tahoma" w:asciiTheme="minorEastAsia" w:hAnsiTheme="minorEastAsia"/>
                <w:color w:val="333333"/>
                <w:kern w:val="0"/>
                <w:szCs w:val="21"/>
              </w:rPr>
              <w:t>年</w:t>
            </w:r>
          </w:p>
        </w:tc>
        <w:tc>
          <w:tcPr>
            <w:tcW w:w="1701" w:type="dxa"/>
            <w:vAlign w:val="top"/>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全国</w:t>
            </w:r>
            <w:r>
              <w:rPr>
                <w:rFonts w:hint="eastAsia" w:cs="Tahoma" w:asciiTheme="minorEastAsia" w:hAnsiTheme="minorEastAsia"/>
                <w:color w:val="333333"/>
                <w:kern w:val="0"/>
                <w:szCs w:val="21"/>
                <w:lang w:eastAsia="zh-CN"/>
              </w:rPr>
              <w:t>一</w:t>
            </w:r>
            <w:r>
              <w:rPr>
                <w:rFonts w:cs="Tahoma" w:asciiTheme="minorEastAsia" w:hAnsiTheme="minorEastAsia"/>
                <w:color w:val="333333"/>
                <w:kern w:val="0"/>
                <w:szCs w:val="21"/>
              </w:rPr>
              <w:t>等奖</w:t>
            </w:r>
          </w:p>
        </w:tc>
        <w:tc>
          <w:tcPr>
            <w:tcW w:w="4111" w:type="dxa"/>
            <w:vAlign w:val="top"/>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全国职业院校技能大赛（高职组）英语口语专业组比赛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pPr>
              <w:widowControl/>
              <w:jc w:val="both"/>
              <w:textAlignment w:val="baseline"/>
              <w:rPr>
                <w:rFonts w:hint="default" w:cs="Tahoma" w:asciiTheme="minorEastAsia" w:hAnsiTheme="minorEastAsia" w:eastAsiaTheme="minorEastAsia"/>
                <w:color w:val="333333"/>
                <w:kern w:val="0"/>
                <w:szCs w:val="21"/>
                <w:lang w:val="en-US" w:eastAsia="zh-CN"/>
              </w:rPr>
            </w:pPr>
            <w:r>
              <w:rPr>
                <w:rFonts w:hint="eastAsia" w:cs="Tahoma" w:asciiTheme="minorEastAsia" w:hAnsiTheme="minorEastAsia"/>
                <w:color w:val="333333"/>
                <w:kern w:val="0"/>
                <w:szCs w:val="21"/>
                <w:lang w:val="en-US" w:eastAsia="zh-CN"/>
              </w:rPr>
              <w:t>20</w:t>
            </w:r>
          </w:p>
        </w:tc>
        <w:tc>
          <w:tcPr>
            <w:tcW w:w="1275" w:type="dxa"/>
            <w:vAlign w:val="top"/>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202</w:t>
            </w:r>
            <w:r>
              <w:rPr>
                <w:rFonts w:hint="eastAsia" w:cs="Tahoma" w:asciiTheme="minorEastAsia" w:hAnsiTheme="minorEastAsia"/>
                <w:color w:val="333333"/>
                <w:kern w:val="0"/>
                <w:szCs w:val="21"/>
                <w:lang w:val="en-US" w:eastAsia="zh-CN"/>
              </w:rPr>
              <w:t>2</w:t>
            </w:r>
            <w:r>
              <w:rPr>
                <w:rFonts w:hint="eastAsia" w:cs="Tahoma" w:asciiTheme="minorEastAsia" w:hAnsiTheme="minorEastAsia"/>
                <w:color w:val="333333"/>
                <w:kern w:val="0"/>
                <w:szCs w:val="21"/>
              </w:rPr>
              <w:t>年</w:t>
            </w:r>
          </w:p>
        </w:tc>
        <w:tc>
          <w:tcPr>
            <w:tcW w:w="1701" w:type="dxa"/>
            <w:vAlign w:val="top"/>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安徽省三</w:t>
            </w:r>
            <w:r>
              <w:rPr>
                <w:rFonts w:cs="Tahoma" w:asciiTheme="minorEastAsia" w:hAnsiTheme="minorEastAsia"/>
                <w:color w:val="333333"/>
                <w:kern w:val="0"/>
                <w:szCs w:val="21"/>
              </w:rPr>
              <w:t>等奖</w:t>
            </w:r>
          </w:p>
        </w:tc>
        <w:tc>
          <w:tcPr>
            <w:tcW w:w="4111" w:type="dxa"/>
            <w:vAlign w:val="top"/>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安徽省职业院校技能大赛（高职组）互联网</w:t>
            </w:r>
            <w:r>
              <w:rPr>
                <w:rFonts w:cs="Tahoma" w:asciiTheme="minorEastAsia" w:hAnsiTheme="minorEastAsia"/>
                <w:color w:val="333333"/>
                <w:kern w:val="0"/>
                <w:szCs w:val="21"/>
              </w:rPr>
              <w:t>+国际贸易综合技能</w:t>
            </w:r>
            <w:r>
              <w:rPr>
                <w:rFonts w:hint="eastAsia" w:cs="Tahoma" w:asciiTheme="minorEastAsia" w:hAnsiTheme="minorEastAsia"/>
                <w:color w:val="333333"/>
                <w:kern w:val="0"/>
                <w:szCs w:val="21"/>
              </w:rPr>
              <w:t>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top"/>
          </w:tcPr>
          <w:p>
            <w:pPr>
              <w:widowControl/>
              <w:jc w:val="both"/>
              <w:textAlignment w:val="baseline"/>
              <w:rPr>
                <w:rFonts w:hint="default" w:cs="Tahoma" w:asciiTheme="minorEastAsia" w:hAnsiTheme="minorEastAsia"/>
                <w:color w:val="333333"/>
                <w:kern w:val="0"/>
                <w:szCs w:val="21"/>
                <w:lang w:val="en-US" w:eastAsia="zh-CN"/>
              </w:rPr>
            </w:pPr>
            <w:r>
              <w:rPr>
                <w:rFonts w:hint="eastAsia" w:cs="Tahoma" w:asciiTheme="minorEastAsia" w:hAnsiTheme="minorEastAsia"/>
                <w:color w:val="333333"/>
                <w:kern w:val="0"/>
                <w:szCs w:val="21"/>
                <w:lang w:val="en-US" w:eastAsia="zh-CN"/>
              </w:rPr>
              <w:t>21</w:t>
            </w:r>
          </w:p>
        </w:tc>
        <w:tc>
          <w:tcPr>
            <w:tcW w:w="1275" w:type="dxa"/>
            <w:vAlign w:val="top"/>
          </w:tcPr>
          <w:p>
            <w:pPr>
              <w:widowControl/>
              <w:jc w:val="both"/>
              <w:textAlignment w:val="baseline"/>
              <w:rPr>
                <w:rFonts w:cs="Tahoma" w:asciiTheme="minorEastAsia" w:hAnsiTheme="minorEastAsia"/>
                <w:color w:val="333333"/>
                <w:kern w:val="0"/>
                <w:szCs w:val="21"/>
              </w:rPr>
            </w:pPr>
            <w:r>
              <w:rPr>
                <w:rFonts w:cs="Tahoma" w:asciiTheme="minorEastAsia" w:hAnsiTheme="minorEastAsia"/>
                <w:color w:val="333333"/>
                <w:kern w:val="0"/>
                <w:szCs w:val="21"/>
              </w:rPr>
              <w:t>202</w:t>
            </w:r>
            <w:r>
              <w:rPr>
                <w:rFonts w:hint="eastAsia" w:cs="Tahoma" w:asciiTheme="minorEastAsia" w:hAnsiTheme="minorEastAsia"/>
                <w:color w:val="333333"/>
                <w:kern w:val="0"/>
                <w:szCs w:val="21"/>
                <w:lang w:val="en-US" w:eastAsia="zh-CN"/>
              </w:rPr>
              <w:t>3</w:t>
            </w:r>
            <w:r>
              <w:rPr>
                <w:rFonts w:hint="eastAsia" w:cs="Tahoma" w:asciiTheme="minorEastAsia" w:hAnsiTheme="minorEastAsia"/>
                <w:color w:val="333333"/>
                <w:kern w:val="0"/>
                <w:szCs w:val="21"/>
              </w:rPr>
              <w:t>年</w:t>
            </w:r>
          </w:p>
        </w:tc>
        <w:tc>
          <w:tcPr>
            <w:tcW w:w="1701" w:type="dxa"/>
            <w:vAlign w:val="top"/>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全国</w:t>
            </w:r>
            <w:r>
              <w:rPr>
                <w:rFonts w:hint="eastAsia" w:cs="Tahoma" w:asciiTheme="minorEastAsia" w:hAnsiTheme="minorEastAsia"/>
                <w:color w:val="333333"/>
                <w:kern w:val="0"/>
                <w:szCs w:val="21"/>
                <w:lang w:eastAsia="zh-CN"/>
              </w:rPr>
              <w:t>三</w:t>
            </w:r>
            <w:r>
              <w:rPr>
                <w:rFonts w:cs="Tahoma" w:asciiTheme="minorEastAsia" w:hAnsiTheme="minorEastAsia"/>
                <w:color w:val="333333"/>
                <w:kern w:val="0"/>
                <w:szCs w:val="21"/>
              </w:rPr>
              <w:t>等奖</w:t>
            </w:r>
          </w:p>
        </w:tc>
        <w:tc>
          <w:tcPr>
            <w:tcW w:w="4111" w:type="dxa"/>
            <w:vAlign w:val="top"/>
          </w:tcPr>
          <w:p>
            <w:pPr>
              <w:widowControl/>
              <w:jc w:val="both"/>
              <w:textAlignment w:val="baseline"/>
              <w:rPr>
                <w:rFonts w:hint="eastAsia" w:cs="Tahoma" w:asciiTheme="minorEastAsia" w:hAnsiTheme="minorEastAsia"/>
                <w:color w:val="333333"/>
                <w:kern w:val="0"/>
                <w:szCs w:val="21"/>
              </w:rPr>
            </w:pPr>
            <w:r>
              <w:rPr>
                <w:rFonts w:hint="eastAsia" w:cs="Tahoma" w:asciiTheme="minorEastAsia" w:hAnsiTheme="minorEastAsia"/>
                <w:color w:val="333333"/>
                <w:kern w:val="0"/>
                <w:szCs w:val="21"/>
              </w:rPr>
              <w:t>全国职业院校技能大赛（高职组）英语口语专业组比赛</w:t>
            </w:r>
          </w:p>
        </w:tc>
      </w:tr>
    </w:tbl>
    <w:p>
      <w:pPr>
        <w:widowControl/>
        <w:shd w:val="clear" w:color="auto" w:fill="FFFFFF"/>
        <w:jc w:val="both"/>
        <w:textAlignment w:val="baseline"/>
        <w:rPr>
          <w:rFonts w:ascii="宋体" w:hAnsi="宋体" w:eastAsia="宋体" w:cs="Tahoma"/>
          <w:color w:val="333333"/>
          <w:kern w:val="0"/>
          <w:sz w:val="24"/>
          <w:szCs w:val="24"/>
        </w:rPr>
      </w:pPr>
      <w:r>
        <w:rPr>
          <w:rFonts w:ascii="宋体" w:hAnsi="宋体" w:eastAsia="宋体" w:cs="Tahoma"/>
          <w:color w:val="333333"/>
          <w:kern w:val="0"/>
          <w:sz w:val="24"/>
          <w:szCs w:val="24"/>
        </w:rPr>
        <w:drawing>
          <wp:inline distT="0" distB="0" distL="0" distR="0">
            <wp:extent cx="5344160" cy="3941445"/>
            <wp:effectExtent l="0" t="0" r="8890" b="1905"/>
            <wp:docPr id="13" name="图片 13" descr="E:\获奖证书扫描\2016省口语一等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获奖证书扫描\2016省口语一等奖.jpeg"/>
                    <pic:cNvPicPr>
                      <a:picLocks noChangeAspect="1" noChangeArrowheads="1"/>
                    </pic:cNvPicPr>
                  </pic:nvPicPr>
                  <pic:blipFill>
                    <a:blip r:embed="rId6" cstate="print">
                      <a:extLst>
                        <a:ext uri="{28A0092B-C50C-407E-A947-70E740481C1C}">
                          <a14:useLocalDpi xmlns:a14="http://schemas.microsoft.com/office/drawing/2010/main" val="0"/>
                        </a:ext>
                      </a:extLst>
                    </a:blip>
                    <a:srcRect l="3660" b="2366"/>
                    <a:stretch>
                      <a:fillRect/>
                    </a:stretch>
                  </pic:blipFill>
                  <pic:spPr>
                    <a:xfrm>
                      <a:off x="0" y="0"/>
                      <a:ext cx="5344160" cy="3941445"/>
                    </a:xfrm>
                    <a:prstGeom prst="rect">
                      <a:avLst/>
                    </a:prstGeom>
                    <a:noFill/>
                    <a:ln>
                      <a:noFill/>
                    </a:ln>
                  </pic:spPr>
                </pic:pic>
              </a:graphicData>
            </a:graphic>
          </wp:inline>
        </w:drawing>
      </w:r>
      <w:r>
        <w:rPr>
          <w:rFonts w:ascii="Tahoma" w:hAnsi="Tahoma" w:eastAsia="宋体" w:cs="Tahoma"/>
          <w:color w:val="333333"/>
          <w:kern w:val="0"/>
          <w:szCs w:val="21"/>
        </w:rPr>
        <w:drawing>
          <wp:inline distT="0" distB="0" distL="0" distR="0">
            <wp:extent cx="5221605" cy="3921760"/>
            <wp:effectExtent l="0" t="0" r="17145" b="2540"/>
            <wp:docPr id="12" name="图片 12" descr="http://gjsw.cua.edu.cn/_upload/article/images/40/cf/db4bf9814ca893902b0efec3c39c/50f1baea-e852-498d-8a8b-7da403dad6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gjsw.cua.edu.cn/_upload/article/images/40/cf/db4bf9814ca893902b0efec3c39c/50f1baea-e852-498d-8a8b-7da403dad6c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21605" cy="3921760"/>
                    </a:xfrm>
                    <a:prstGeom prst="rect">
                      <a:avLst/>
                    </a:prstGeom>
                    <a:noFill/>
                    <a:ln>
                      <a:noFill/>
                    </a:ln>
                  </pic:spPr>
                </pic:pic>
              </a:graphicData>
            </a:graphic>
          </wp:inline>
        </w:drawing>
      </w:r>
      <w:r>
        <w:rPr>
          <w:rFonts w:ascii="inherit" w:hAnsi="inherit" w:eastAsia="宋体" w:cs="Tahoma"/>
          <w:color w:val="333333"/>
          <w:kern w:val="0"/>
          <w:sz w:val="24"/>
          <w:szCs w:val="24"/>
        </w:rPr>
        <w:drawing>
          <wp:inline distT="0" distB="0" distL="0" distR="0">
            <wp:extent cx="5230495" cy="3804285"/>
            <wp:effectExtent l="0" t="0" r="8255" b="5715"/>
            <wp:docPr id="18" name="图片 18" descr="E:\获奖证书扫描\2019省大学生英语竞赛一等奖.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获奖证书扫描\2019省大学生英语竞赛一等奖.jpeg"/>
                    <pic:cNvPicPr>
                      <a:picLocks noChangeAspect="1" noChangeArrowheads="1"/>
                    </pic:cNvPicPr>
                  </pic:nvPicPr>
                  <pic:blipFill>
                    <a:blip r:embed="rId8" cstate="print">
                      <a:extLst>
                        <a:ext uri="{28A0092B-C50C-407E-A947-70E740481C1C}">
                          <a14:useLocalDpi xmlns:a14="http://schemas.microsoft.com/office/drawing/2010/main" val="0"/>
                        </a:ext>
                      </a:extLst>
                    </a:blip>
                    <a:srcRect l="5411" t="196" r="1013" b="6079"/>
                    <a:stretch>
                      <a:fillRect/>
                    </a:stretch>
                  </pic:blipFill>
                  <pic:spPr>
                    <a:xfrm>
                      <a:off x="0" y="0"/>
                      <a:ext cx="5230495" cy="3804285"/>
                    </a:xfrm>
                    <a:prstGeom prst="rect">
                      <a:avLst/>
                    </a:prstGeom>
                    <a:noFill/>
                    <a:ln>
                      <a:noFill/>
                    </a:ln>
                  </pic:spPr>
                </pic:pic>
              </a:graphicData>
            </a:graphic>
          </wp:inline>
        </w:drawing>
      </w:r>
    </w:p>
    <w:p>
      <w:pPr>
        <w:widowControl/>
        <w:shd w:val="clear" w:color="auto" w:fill="FFFFFF"/>
        <w:ind w:firstLine="480"/>
        <w:jc w:val="both"/>
        <w:textAlignment w:val="baseline"/>
        <w:rPr>
          <w:rFonts w:ascii="宋体" w:hAnsi="宋体" w:eastAsia="宋体" w:cs="Tahoma"/>
          <w:color w:val="333333"/>
          <w:kern w:val="0"/>
          <w:sz w:val="24"/>
          <w:szCs w:val="24"/>
        </w:rPr>
      </w:pPr>
      <w:r>
        <w:rPr>
          <w:rFonts w:ascii="宋体" w:hAnsi="宋体" w:eastAsia="宋体" w:cs="Tahoma"/>
          <w:color w:val="333333"/>
          <w:kern w:val="0"/>
          <w:sz w:val="24"/>
          <w:szCs w:val="24"/>
        </w:rPr>
        <w:drawing>
          <wp:inline distT="0" distB="0" distL="0" distR="0">
            <wp:extent cx="4842510" cy="6805295"/>
            <wp:effectExtent l="0" t="0" r="15240" b="14605"/>
            <wp:docPr id="11" name="图片 11" descr="C:\Users\DELL\Desktop\童玉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ELL\Desktop\童玉文.jpg"/>
                    <pic:cNvPicPr>
                      <a:picLocks noChangeAspect="1" noChangeArrowheads="1"/>
                    </pic:cNvPicPr>
                  </pic:nvPicPr>
                  <pic:blipFill>
                    <a:blip r:embed="rId9" cstate="print">
                      <a:extLst>
                        <a:ext uri="{28A0092B-C50C-407E-A947-70E740481C1C}">
                          <a14:useLocalDpi xmlns:a14="http://schemas.microsoft.com/office/drawing/2010/main" val="0"/>
                        </a:ext>
                      </a:extLst>
                    </a:blip>
                    <a:srcRect l="1712" t="1029" r="2516" b="1066"/>
                    <a:stretch>
                      <a:fillRect/>
                    </a:stretch>
                  </pic:blipFill>
                  <pic:spPr>
                    <a:xfrm>
                      <a:off x="0" y="0"/>
                      <a:ext cx="4842510" cy="6805295"/>
                    </a:xfrm>
                    <a:prstGeom prst="rect">
                      <a:avLst/>
                    </a:prstGeom>
                    <a:noFill/>
                    <a:ln>
                      <a:noFill/>
                    </a:ln>
                  </pic:spPr>
                </pic:pic>
              </a:graphicData>
            </a:graphic>
          </wp:inline>
        </w:drawing>
      </w:r>
    </w:p>
    <w:p>
      <w:pPr>
        <w:widowControl/>
        <w:shd w:val="clear" w:color="auto" w:fill="FFFFFF"/>
        <w:ind w:firstLine="480"/>
        <w:jc w:val="both"/>
        <w:textAlignment w:val="baseline"/>
        <w:rPr>
          <w:rFonts w:hint="eastAsia" w:ascii="宋体" w:hAnsi="宋体" w:eastAsia="宋体" w:cs="Tahoma"/>
          <w:color w:val="333333"/>
          <w:kern w:val="0"/>
          <w:sz w:val="24"/>
          <w:szCs w:val="24"/>
          <w:lang w:eastAsia="zh-CN"/>
        </w:rPr>
      </w:pPr>
      <w:r>
        <w:rPr>
          <w:rFonts w:hint="eastAsia" w:ascii="宋体" w:hAnsi="宋体" w:eastAsia="宋体" w:cs="Tahoma"/>
          <w:color w:val="333333"/>
          <w:kern w:val="0"/>
          <w:sz w:val="24"/>
          <w:szCs w:val="24"/>
          <w:lang w:eastAsia="zh-CN"/>
        </w:rPr>
        <w:drawing>
          <wp:inline distT="0" distB="0" distL="114300" distR="114300">
            <wp:extent cx="4953000" cy="3451225"/>
            <wp:effectExtent l="0" t="0" r="0" b="0"/>
            <wp:docPr id="5" name="图片 5" descr="2022英语口语专业组国赛一等奖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英语口语专业组国赛一等奖证书_00"/>
                    <pic:cNvPicPr>
                      <a:picLocks noChangeAspect="1"/>
                    </pic:cNvPicPr>
                  </pic:nvPicPr>
                  <pic:blipFill>
                    <a:blip r:embed="rId10"/>
                    <a:srcRect l="6176" t="-68" r="-265" b="7226"/>
                    <a:stretch>
                      <a:fillRect/>
                    </a:stretch>
                  </pic:blipFill>
                  <pic:spPr>
                    <a:xfrm>
                      <a:off x="0" y="0"/>
                      <a:ext cx="4953000" cy="3451225"/>
                    </a:xfrm>
                    <a:prstGeom prst="rect">
                      <a:avLst/>
                    </a:prstGeom>
                  </pic:spPr>
                </pic:pic>
              </a:graphicData>
            </a:graphic>
          </wp:inline>
        </w:drawing>
      </w:r>
    </w:p>
    <w:p>
      <w:pPr>
        <w:widowControl/>
        <w:shd w:val="clear" w:color="auto" w:fill="FFFFFF"/>
        <w:spacing w:line="480" w:lineRule="atLeast"/>
        <w:ind w:firstLine="420"/>
        <w:jc w:val="both"/>
        <w:rPr>
          <w:rFonts w:hint="eastAsia" w:ascii="微软雅黑" w:hAnsi="微软雅黑" w:eastAsia="微软雅黑" w:cs="微软雅黑"/>
          <w:color w:val="333333"/>
          <w:kern w:val="0"/>
          <w:sz w:val="24"/>
          <w:szCs w:val="24"/>
          <w:shd w:val="clear" w:color="auto" w:fill="FFFFFF"/>
        </w:rPr>
      </w:pPr>
    </w:p>
    <w:p>
      <w:pPr>
        <w:widowControl/>
        <w:shd w:val="clear" w:color="auto" w:fill="FFFFFF"/>
        <w:spacing w:line="480" w:lineRule="atLeast"/>
        <w:ind w:firstLine="420"/>
        <w:jc w:val="both"/>
        <w:rPr>
          <w:rFonts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w:t>
      </w:r>
      <w:r>
        <w:rPr>
          <w:rFonts w:hint="eastAsia" w:ascii="微软雅黑" w:hAnsi="微软雅黑" w:eastAsia="微软雅黑" w:cs="微软雅黑"/>
          <w:color w:val="333333"/>
          <w:kern w:val="0"/>
          <w:sz w:val="24"/>
          <w:szCs w:val="24"/>
          <w:shd w:val="clear" w:color="auto" w:fill="FFFFFF"/>
          <w:lang w:eastAsia="zh-CN"/>
        </w:rPr>
        <w:t>校企合作</w:t>
      </w:r>
      <w:r>
        <w:rPr>
          <w:rFonts w:hint="eastAsia" w:ascii="微软雅黑" w:hAnsi="微软雅黑" w:eastAsia="微软雅黑" w:cs="微软雅黑"/>
          <w:color w:val="333333"/>
          <w:kern w:val="0"/>
          <w:sz w:val="24"/>
          <w:szCs w:val="24"/>
          <w:shd w:val="clear" w:color="auto" w:fill="FFFFFF"/>
        </w:rPr>
        <w:t>】</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baseline"/>
        <w:rPr>
          <w:rFonts w:ascii="宋体" w:hAnsi="宋体" w:eastAsia="宋体" w:cs="Tahoma"/>
          <w:color w:val="333333"/>
          <w:kern w:val="0"/>
          <w:sz w:val="24"/>
          <w:szCs w:val="24"/>
        </w:rPr>
      </w:pPr>
      <w:r>
        <w:rPr>
          <w:rFonts w:hint="eastAsia" w:ascii="宋体" w:hAnsi="宋体" w:eastAsia="宋体" w:cs="Tahoma"/>
          <w:color w:val="333333"/>
          <w:kern w:val="0"/>
          <w:sz w:val="24"/>
          <w:szCs w:val="24"/>
        </w:rPr>
        <w:t>本专业与义乌橙行网络科技有限公司共建的跨境电商特色班是专业一大特色。该公司是一家专注跨境电商全网营销服务的公司，是安徽现代城市职业教育集团理事单位。商务英语专业于</w:t>
      </w:r>
      <w:r>
        <w:rPr>
          <w:rFonts w:ascii="inherit" w:hAnsi="inherit" w:eastAsia="宋体" w:cs="Tahoma"/>
          <w:color w:val="333333"/>
          <w:kern w:val="0"/>
          <w:sz w:val="24"/>
          <w:szCs w:val="24"/>
        </w:rPr>
        <w:t>2016年11月开始与该公司共建跨境电商特色班。本着学生自愿的原则，商务英语专业</w:t>
      </w:r>
      <w:r>
        <w:rPr>
          <w:rFonts w:hint="eastAsia" w:ascii="宋体" w:hAnsi="宋体" w:eastAsia="宋体" w:cs="Tahoma"/>
          <w:color w:val="333333"/>
          <w:kern w:val="0"/>
          <w:sz w:val="24"/>
          <w:szCs w:val="24"/>
        </w:rPr>
        <w:t>组织一定数量的学生组成特色班，为义乌方定向培养、输送人才。学生在培训期间接受跨境电子商务技能理论和实训课程，并进行实际的店铺操作。学生在第四学期末，由橙行科技推荐到义乌进行为期</w:t>
      </w:r>
      <w:r>
        <w:rPr>
          <w:rFonts w:ascii="inherit" w:hAnsi="inherit" w:eastAsia="宋体" w:cs="Tahoma"/>
          <w:color w:val="333333"/>
          <w:kern w:val="0"/>
          <w:sz w:val="24"/>
          <w:szCs w:val="24"/>
        </w:rPr>
        <w:t>6个月的外贸实习，保证学生100%</w:t>
      </w:r>
      <w:r>
        <w:rPr>
          <w:rFonts w:hint="eastAsia" w:ascii="宋体" w:hAnsi="宋体" w:eastAsia="宋体" w:cs="Tahoma"/>
          <w:color w:val="333333"/>
          <w:kern w:val="0"/>
          <w:sz w:val="24"/>
          <w:szCs w:val="24"/>
        </w:rPr>
        <w:t>找到实习单位。</w:t>
      </w:r>
    </w:p>
    <w:p>
      <w:pPr>
        <w:widowControl/>
        <w:shd w:val="clear" w:color="auto" w:fill="FFFFFF"/>
        <w:ind w:firstLine="480"/>
        <w:jc w:val="both"/>
        <w:textAlignment w:val="baseline"/>
        <w:rPr>
          <w:rFonts w:hint="eastAsia" w:ascii="Tahoma" w:hAnsi="Tahoma" w:eastAsia="宋体" w:cs="Tahoma"/>
          <w:color w:val="333333"/>
          <w:kern w:val="0"/>
          <w:szCs w:val="21"/>
        </w:rPr>
      </w:pPr>
    </w:p>
    <w:p>
      <w:pPr>
        <w:widowControl/>
        <w:shd w:val="clear" w:color="auto" w:fill="FFFFFF"/>
        <w:spacing w:line="480" w:lineRule="atLeast"/>
        <w:ind w:firstLine="420"/>
        <w:jc w:val="both"/>
        <w:rPr>
          <w:rFonts w:hint="eastAsia" w:ascii="微软雅黑" w:hAnsi="微软雅黑" w:eastAsia="微软雅黑" w:cs="微软雅黑"/>
          <w:color w:val="333333"/>
          <w:kern w:val="0"/>
          <w:sz w:val="24"/>
          <w:szCs w:val="24"/>
          <w:highlight w:val="none"/>
          <w:shd w:val="clear" w:color="auto" w:fill="FFFFFF"/>
        </w:rPr>
      </w:pPr>
      <w:r>
        <w:rPr>
          <w:rFonts w:hint="eastAsia" w:ascii="微软雅黑" w:hAnsi="微软雅黑" w:eastAsia="微软雅黑" w:cs="微软雅黑"/>
          <w:color w:val="333333"/>
          <w:kern w:val="0"/>
          <w:sz w:val="24"/>
          <w:szCs w:val="24"/>
          <w:highlight w:val="none"/>
          <w:shd w:val="clear" w:color="auto" w:fill="FFFFFF"/>
        </w:rPr>
        <w:t>【就业</w:t>
      </w:r>
      <w:r>
        <w:rPr>
          <w:rFonts w:hint="eastAsia" w:ascii="微软雅黑" w:hAnsi="微软雅黑" w:eastAsia="微软雅黑" w:cs="微软雅黑"/>
          <w:color w:val="333333"/>
          <w:kern w:val="0"/>
          <w:sz w:val="24"/>
          <w:szCs w:val="24"/>
          <w:highlight w:val="none"/>
          <w:shd w:val="clear" w:color="auto" w:fill="FFFFFF"/>
          <w:lang w:eastAsia="zh-CN"/>
        </w:rPr>
        <w:t>情况</w:t>
      </w:r>
      <w:r>
        <w:rPr>
          <w:rFonts w:hint="eastAsia" w:ascii="微软雅黑" w:hAnsi="微软雅黑" w:eastAsia="微软雅黑" w:cs="微软雅黑"/>
          <w:color w:val="333333"/>
          <w:kern w:val="0"/>
          <w:sz w:val="24"/>
          <w:szCs w:val="24"/>
          <w:highlight w:val="none"/>
          <w:shd w:val="clear" w:color="auto" w:fill="FFFFFF"/>
        </w:rPr>
        <w:t>】</w:t>
      </w:r>
    </w:p>
    <w:p>
      <w:pPr>
        <w:widowControl/>
        <w:shd w:val="clear" w:color="auto" w:fill="FFFFFF"/>
        <w:ind w:firstLine="480"/>
        <w:jc w:val="both"/>
        <w:textAlignment w:val="baseline"/>
        <w:rPr>
          <w:rFonts w:ascii="Tahoma" w:hAnsi="Tahoma" w:eastAsia="宋体" w:cs="Tahoma"/>
          <w:color w:val="333333"/>
          <w:kern w:val="0"/>
          <w:szCs w:val="21"/>
        </w:rPr>
      </w:pPr>
      <w:r>
        <w:rPr>
          <w:rFonts w:hint="eastAsia" w:ascii="宋体" w:hAnsi="宋体" w:eastAsia="宋体" w:cs="Tahoma"/>
          <w:color w:val="333333"/>
          <w:kern w:val="0"/>
          <w:sz w:val="24"/>
          <w:szCs w:val="24"/>
        </w:rPr>
        <w:t>本专业对学生的培养以外贸业务操作能力和跨境外贸平台操作能力为核心，突出以职业核心能力为导向，实行</w:t>
      </w:r>
      <w:r>
        <w:rPr>
          <w:rFonts w:hint="eastAsia" w:ascii="inherit" w:hAnsi="inherit" w:eastAsia="宋体" w:cs="Tahoma"/>
          <w:color w:val="333333"/>
          <w:kern w:val="0"/>
          <w:sz w:val="24"/>
          <w:szCs w:val="24"/>
        </w:rPr>
        <w:t>“</w:t>
      </w:r>
      <w:r>
        <w:rPr>
          <w:rFonts w:ascii="inherit" w:hAnsi="inherit" w:eastAsia="宋体" w:cs="Tahoma"/>
          <w:color w:val="333333"/>
          <w:kern w:val="0"/>
          <w:sz w:val="24"/>
          <w:szCs w:val="24"/>
        </w:rPr>
        <w:t>2+1</w:t>
      </w:r>
      <w:r>
        <w:rPr>
          <w:rFonts w:hint="eastAsia" w:ascii="inherit" w:hAnsi="inherit" w:eastAsia="宋体" w:cs="Tahoma"/>
          <w:color w:val="333333"/>
          <w:kern w:val="0"/>
          <w:sz w:val="24"/>
          <w:szCs w:val="24"/>
        </w:rPr>
        <w:t>”</w:t>
      </w:r>
      <w:r>
        <w:rPr>
          <w:rFonts w:ascii="inherit" w:hAnsi="inherit" w:eastAsia="宋体" w:cs="Tahoma"/>
          <w:color w:val="333333"/>
          <w:kern w:val="0"/>
          <w:sz w:val="24"/>
          <w:szCs w:val="24"/>
        </w:rPr>
        <w:t>人才培养模式。学生在大二</w:t>
      </w:r>
      <w:r>
        <w:rPr>
          <w:rFonts w:hint="eastAsia" w:ascii="inherit" w:hAnsi="inherit" w:eastAsia="宋体" w:cs="Tahoma"/>
          <w:color w:val="333333"/>
          <w:kern w:val="0"/>
          <w:sz w:val="24"/>
          <w:szCs w:val="24"/>
          <w:lang w:eastAsia="zh-CN"/>
        </w:rPr>
        <w:t>学年</w:t>
      </w:r>
      <w:r>
        <w:rPr>
          <w:rFonts w:ascii="inherit" w:hAnsi="inherit" w:eastAsia="宋体" w:cs="Tahoma"/>
          <w:color w:val="333333"/>
          <w:kern w:val="0"/>
          <w:sz w:val="24"/>
          <w:szCs w:val="24"/>
        </w:rPr>
        <w:t>经过跨境</w:t>
      </w:r>
      <w:r>
        <w:rPr>
          <w:rFonts w:hint="eastAsia" w:ascii="inherit" w:hAnsi="inherit" w:eastAsia="宋体" w:cs="Tahoma"/>
          <w:color w:val="333333"/>
          <w:kern w:val="0"/>
          <w:sz w:val="24"/>
          <w:szCs w:val="24"/>
          <w:lang w:eastAsia="zh-CN"/>
        </w:rPr>
        <w:t>及</w:t>
      </w:r>
      <w:r>
        <w:rPr>
          <w:rFonts w:ascii="inherit" w:hAnsi="inherit" w:eastAsia="宋体" w:cs="Tahoma"/>
          <w:color w:val="333333"/>
          <w:kern w:val="0"/>
          <w:sz w:val="24"/>
          <w:szCs w:val="24"/>
        </w:rPr>
        <w:t>外贸专业知识培训后，</w:t>
      </w:r>
      <w:r>
        <w:rPr>
          <w:rFonts w:hint="eastAsia" w:ascii="inherit" w:hAnsi="inherit" w:eastAsia="宋体" w:cs="Tahoma"/>
          <w:color w:val="333333"/>
          <w:kern w:val="0"/>
          <w:sz w:val="24"/>
          <w:szCs w:val="24"/>
          <w:lang w:eastAsia="zh-CN"/>
        </w:rPr>
        <w:t>在</w:t>
      </w:r>
      <w:r>
        <w:rPr>
          <w:rFonts w:ascii="inherit" w:hAnsi="inherit" w:eastAsia="宋体" w:cs="Tahoma"/>
          <w:color w:val="333333"/>
          <w:kern w:val="0"/>
          <w:sz w:val="24"/>
          <w:szCs w:val="24"/>
        </w:rPr>
        <w:t>大三</w:t>
      </w:r>
      <w:r>
        <w:rPr>
          <w:rFonts w:hint="eastAsia" w:ascii="inherit" w:hAnsi="inherit" w:eastAsia="宋体" w:cs="Tahoma"/>
          <w:color w:val="333333"/>
          <w:kern w:val="0"/>
          <w:sz w:val="24"/>
          <w:szCs w:val="24"/>
          <w:lang w:eastAsia="zh-CN"/>
        </w:rPr>
        <w:t>时</w:t>
      </w:r>
      <w:r>
        <w:rPr>
          <w:rFonts w:ascii="inherit" w:hAnsi="inherit" w:eastAsia="宋体" w:cs="Tahoma"/>
          <w:color w:val="333333"/>
          <w:kern w:val="0"/>
          <w:sz w:val="24"/>
          <w:szCs w:val="24"/>
        </w:rPr>
        <w:t>进行企业顶岗实习，实现实习、就业无缝对接。</w:t>
      </w:r>
      <w:bookmarkStart w:id="0" w:name="_GoBack"/>
      <w:bookmarkEnd w:id="0"/>
    </w:p>
    <w:tbl>
      <w:tblPr>
        <w:tblStyle w:val="7"/>
        <w:tblW w:w="8130" w:type="dxa"/>
        <w:jc w:val="center"/>
        <w:tblLayout w:type="autofit"/>
        <w:tblCellMar>
          <w:top w:w="0" w:type="dxa"/>
          <w:left w:w="0" w:type="dxa"/>
          <w:bottom w:w="0" w:type="dxa"/>
          <w:right w:w="0" w:type="dxa"/>
        </w:tblCellMar>
      </w:tblPr>
      <w:tblGrid>
        <w:gridCol w:w="1695"/>
        <w:gridCol w:w="6435"/>
      </w:tblGrid>
      <w:tr>
        <w:trPr>
          <w:jc w:val="center"/>
        </w:trPr>
        <w:tc>
          <w:tcPr>
            <w:tcW w:w="1695" w:type="dxa"/>
            <w:tcBorders>
              <w:top w:val="single" w:color="000000" w:sz="6" w:space="0"/>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ascii="inherit" w:hAnsi="inherit" w:eastAsia="宋体" w:cs="Tahoma"/>
                <w:color w:val="333333"/>
                <w:kern w:val="0"/>
                <w:sz w:val="24"/>
                <w:szCs w:val="24"/>
              </w:rPr>
              <w:t>跨境电商方向</w:t>
            </w:r>
          </w:p>
        </w:tc>
        <w:tc>
          <w:tcPr>
            <w:tcW w:w="6435" w:type="dxa"/>
            <w:tcBorders>
              <w:top w:val="single" w:color="000000" w:sz="6" w:space="0"/>
              <w:left w:val="nil"/>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ascii="inherit" w:hAnsi="inherit" w:eastAsia="宋体" w:cs="Tahoma"/>
                <w:color w:val="333333"/>
                <w:kern w:val="0"/>
                <w:sz w:val="24"/>
                <w:szCs w:val="24"/>
              </w:rPr>
              <w:t>在跨境电商企业担任</w:t>
            </w:r>
            <w:r>
              <w:rPr>
                <w:rFonts w:hint="eastAsia" w:ascii="inherit" w:hAnsi="inherit" w:eastAsia="宋体" w:cs="Tahoma"/>
                <w:color w:val="333333"/>
                <w:kern w:val="0"/>
                <w:sz w:val="24"/>
                <w:szCs w:val="24"/>
              </w:rPr>
              <w:t>跨境电商运营</w:t>
            </w:r>
            <w:r>
              <w:rPr>
                <w:rFonts w:ascii="inherit" w:hAnsi="inherit" w:eastAsia="宋体" w:cs="Tahoma"/>
                <w:color w:val="333333"/>
                <w:kern w:val="0"/>
                <w:sz w:val="24"/>
                <w:szCs w:val="24"/>
              </w:rPr>
              <w:t>、</w:t>
            </w:r>
            <w:r>
              <w:rPr>
                <w:rFonts w:hint="eastAsia" w:ascii="inherit" w:hAnsi="inherit" w:eastAsia="宋体" w:cs="Tahoma"/>
                <w:color w:val="333333"/>
                <w:kern w:val="0"/>
                <w:sz w:val="24"/>
                <w:szCs w:val="24"/>
              </w:rPr>
              <w:t>营销专员</w:t>
            </w:r>
            <w:r>
              <w:rPr>
                <w:rFonts w:ascii="inherit" w:hAnsi="inherit" w:eastAsia="宋体" w:cs="Tahoma"/>
                <w:color w:val="333333"/>
                <w:kern w:val="0"/>
                <w:sz w:val="24"/>
                <w:szCs w:val="24"/>
              </w:rPr>
              <w:t>、客服、采购</w:t>
            </w:r>
            <w:r>
              <w:rPr>
                <w:rFonts w:hint="eastAsia" w:ascii="inherit" w:hAnsi="inherit" w:eastAsia="宋体" w:cs="Tahoma"/>
                <w:color w:val="333333"/>
                <w:kern w:val="0"/>
                <w:sz w:val="24"/>
                <w:szCs w:val="24"/>
              </w:rPr>
              <w:t>员等</w:t>
            </w:r>
          </w:p>
        </w:tc>
      </w:tr>
      <w:tr>
        <w:tblPrEx>
          <w:tblCellMar>
            <w:top w:w="0" w:type="dxa"/>
            <w:left w:w="0" w:type="dxa"/>
            <w:bottom w:w="0" w:type="dxa"/>
            <w:right w:w="0" w:type="dxa"/>
          </w:tblCellMar>
        </w:tblPrEx>
        <w:trPr>
          <w:jc w:val="center"/>
        </w:trPr>
        <w:tc>
          <w:tcPr>
            <w:tcW w:w="169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ascii="inherit" w:hAnsi="inherit" w:eastAsia="宋体" w:cs="Tahoma"/>
                <w:color w:val="333333"/>
                <w:kern w:val="0"/>
                <w:sz w:val="24"/>
                <w:szCs w:val="24"/>
              </w:rPr>
              <w:t>外贸方向</w:t>
            </w:r>
          </w:p>
        </w:tc>
        <w:tc>
          <w:tcPr>
            <w:tcW w:w="6435" w:type="dxa"/>
            <w:tcBorders>
              <w:top w:val="nil"/>
              <w:left w:val="nil"/>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ascii="inherit" w:hAnsi="inherit" w:eastAsia="宋体" w:cs="Tahoma"/>
                <w:color w:val="333333"/>
                <w:kern w:val="0"/>
                <w:sz w:val="24"/>
                <w:szCs w:val="24"/>
              </w:rPr>
              <w:t>在对外经贸企业或有进出口经营权的企业担任外贸业务员、外销员、单证员等</w:t>
            </w:r>
          </w:p>
        </w:tc>
      </w:tr>
      <w:tr>
        <w:tblPrEx>
          <w:tblCellMar>
            <w:top w:w="0" w:type="dxa"/>
            <w:left w:w="0" w:type="dxa"/>
            <w:bottom w:w="0" w:type="dxa"/>
            <w:right w:w="0" w:type="dxa"/>
          </w:tblCellMar>
        </w:tblPrEx>
        <w:trPr>
          <w:jc w:val="center"/>
        </w:trPr>
        <w:tc>
          <w:tcPr>
            <w:tcW w:w="169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ascii="inherit" w:hAnsi="inherit" w:eastAsia="宋体" w:cs="Tahoma"/>
                <w:color w:val="333333"/>
                <w:kern w:val="0"/>
                <w:sz w:val="24"/>
                <w:szCs w:val="24"/>
              </w:rPr>
              <w:t>商务管理方向</w:t>
            </w:r>
          </w:p>
        </w:tc>
        <w:tc>
          <w:tcPr>
            <w:tcW w:w="6435" w:type="dxa"/>
            <w:tcBorders>
              <w:top w:val="nil"/>
              <w:left w:val="nil"/>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hint="eastAsia" w:ascii="inherit" w:hAnsi="inherit" w:eastAsia="宋体" w:cs="Tahoma"/>
                <w:color w:val="333333"/>
                <w:kern w:val="0"/>
                <w:sz w:val="24"/>
                <w:szCs w:val="24"/>
              </w:rPr>
              <w:t>在</w:t>
            </w:r>
            <w:r>
              <w:rPr>
                <w:rFonts w:ascii="inherit" w:hAnsi="inherit" w:eastAsia="宋体" w:cs="Tahoma"/>
                <w:color w:val="333333"/>
                <w:kern w:val="0"/>
                <w:sz w:val="24"/>
                <w:szCs w:val="24"/>
              </w:rPr>
              <w:t>外资企业、外经贸企业担任中英文秘书、商务翻译、文员、行政助理、人事助理、营销与客服人员等</w:t>
            </w:r>
          </w:p>
        </w:tc>
      </w:tr>
      <w:tr>
        <w:tblPrEx>
          <w:tblCellMar>
            <w:top w:w="0" w:type="dxa"/>
            <w:left w:w="0" w:type="dxa"/>
            <w:bottom w:w="0" w:type="dxa"/>
            <w:right w:w="0" w:type="dxa"/>
          </w:tblCellMar>
        </w:tblPrEx>
        <w:trPr>
          <w:jc w:val="center"/>
        </w:trPr>
        <w:tc>
          <w:tcPr>
            <w:tcW w:w="1695" w:type="dxa"/>
            <w:tcBorders>
              <w:top w:val="nil"/>
              <w:left w:val="single" w:color="000000" w:sz="6" w:space="0"/>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ascii="inherit" w:hAnsi="inherit" w:eastAsia="宋体" w:cs="Tahoma"/>
                <w:color w:val="333333"/>
                <w:kern w:val="0"/>
                <w:sz w:val="24"/>
                <w:szCs w:val="24"/>
              </w:rPr>
              <w:t>其他</w:t>
            </w:r>
          </w:p>
        </w:tc>
        <w:tc>
          <w:tcPr>
            <w:tcW w:w="6435" w:type="dxa"/>
            <w:tcBorders>
              <w:top w:val="nil"/>
              <w:left w:val="nil"/>
              <w:bottom w:val="single" w:color="000000" w:sz="6" w:space="0"/>
              <w:right w:val="single" w:color="000000" w:sz="6" w:space="0"/>
            </w:tcBorders>
            <w:tcMar>
              <w:top w:w="0" w:type="dxa"/>
              <w:left w:w="105" w:type="dxa"/>
              <w:bottom w:w="0" w:type="dxa"/>
              <w:right w:w="105" w:type="dxa"/>
            </w:tcMar>
            <w:vAlign w:val="center"/>
          </w:tcPr>
          <w:p>
            <w:pPr>
              <w:widowControl/>
              <w:jc w:val="both"/>
              <w:textAlignment w:val="baseline"/>
              <w:rPr>
                <w:rFonts w:ascii="Tahoma" w:hAnsi="Tahoma" w:eastAsia="宋体" w:cs="Tahoma"/>
                <w:color w:val="333333"/>
                <w:kern w:val="0"/>
                <w:szCs w:val="21"/>
              </w:rPr>
            </w:pPr>
            <w:r>
              <w:rPr>
                <w:rFonts w:ascii="inherit" w:hAnsi="inherit" w:eastAsia="宋体" w:cs="Tahoma"/>
                <w:color w:val="333333"/>
                <w:kern w:val="0"/>
                <w:sz w:val="24"/>
                <w:szCs w:val="24"/>
              </w:rPr>
              <w:t>担任外语教师、留学服务机构工作人员、基层公务员、自主创业者等</w:t>
            </w:r>
          </w:p>
        </w:tc>
      </w:tr>
    </w:tbl>
    <w:p>
      <w:pPr>
        <w:widowControl/>
        <w:shd w:val="clear" w:color="auto" w:fill="FFFFFF"/>
        <w:spacing w:after="150"/>
        <w:jc w:val="both"/>
        <w:textAlignment w:val="baseline"/>
        <w:rPr>
          <w:rFonts w:ascii="Tahoma" w:hAnsi="Tahoma" w:eastAsia="宋体" w:cs="Tahoma"/>
          <w:color w:val="333333"/>
          <w:kern w:val="0"/>
          <w:sz w:val="24"/>
          <w:szCs w:val="24"/>
        </w:rPr>
      </w:pPr>
      <w:r>
        <w:rPr>
          <w:rFonts w:ascii="Tahoma" w:hAnsi="Tahoma" w:eastAsia="宋体" w:cs="Tahoma"/>
          <w:color w:val="333333"/>
          <w:kern w:val="0"/>
          <w:sz w:val="24"/>
          <w:szCs w:val="24"/>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inherit">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Q2OTQ4MTcyOWYzMjgzNTgwODQyODcyNWYzZDFmNDYifQ=="/>
  </w:docVars>
  <w:rsids>
    <w:rsidRoot w:val="003718E1"/>
    <w:rsid w:val="00000B47"/>
    <w:rsid w:val="00006FAA"/>
    <w:rsid w:val="000279D0"/>
    <w:rsid w:val="00035DD4"/>
    <w:rsid w:val="00063F32"/>
    <w:rsid w:val="00085B8D"/>
    <w:rsid w:val="00096D2D"/>
    <w:rsid w:val="000B7222"/>
    <w:rsid w:val="000C6C70"/>
    <w:rsid w:val="000D7E7A"/>
    <w:rsid w:val="000F6DAA"/>
    <w:rsid w:val="00134597"/>
    <w:rsid w:val="0013569B"/>
    <w:rsid w:val="00155A6B"/>
    <w:rsid w:val="00166114"/>
    <w:rsid w:val="00173242"/>
    <w:rsid w:val="001D1D14"/>
    <w:rsid w:val="001F2A66"/>
    <w:rsid w:val="001F3AA6"/>
    <w:rsid w:val="00200267"/>
    <w:rsid w:val="002040D1"/>
    <w:rsid w:val="00205036"/>
    <w:rsid w:val="00220E78"/>
    <w:rsid w:val="00221E2D"/>
    <w:rsid w:val="002249FA"/>
    <w:rsid w:val="002354B5"/>
    <w:rsid w:val="002723F7"/>
    <w:rsid w:val="00287CA3"/>
    <w:rsid w:val="002D41A2"/>
    <w:rsid w:val="002F5925"/>
    <w:rsid w:val="00331C78"/>
    <w:rsid w:val="003550DB"/>
    <w:rsid w:val="003718E1"/>
    <w:rsid w:val="0039536F"/>
    <w:rsid w:val="003B6A3D"/>
    <w:rsid w:val="003C61B7"/>
    <w:rsid w:val="003E67AF"/>
    <w:rsid w:val="003F5951"/>
    <w:rsid w:val="003F5C9B"/>
    <w:rsid w:val="003F78F5"/>
    <w:rsid w:val="00411831"/>
    <w:rsid w:val="00422825"/>
    <w:rsid w:val="00423D29"/>
    <w:rsid w:val="004837E5"/>
    <w:rsid w:val="0049086A"/>
    <w:rsid w:val="004E01F3"/>
    <w:rsid w:val="0051040F"/>
    <w:rsid w:val="00545248"/>
    <w:rsid w:val="00572674"/>
    <w:rsid w:val="00587F05"/>
    <w:rsid w:val="005B08E9"/>
    <w:rsid w:val="005B4D96"/>
    <w:rsid w:val="005B6868"/>
    <w:rsid w:val="005B72DD"/>
    <w:rsid w:val="005C31C7"/>
    <w:rsid w:val="005C4717"/>
    <w:rsid w:val="005C5A54"/>
    <w:rsid w:val="005E1DAA"/>
    <w:rsid w:val="005E2E76"/>
    <w:rsid w:val="005F6DFA"/>
    <w:rsid w:val="00602601"/>
    <w:rsid w:val="0063355B"/>
    <w:rsid w:val="00637DDC"/>
    <w:rsid w:val="00644805"/>
    <w:rsid w:val="006473E2"/>
    <w:rsid w:val="00673883"/>
    <w:rsid w:val="00686D02"/>
    <w:rsid w:val="00690D46"/>
    <w:rsid w:val="00696B6A"/>
    <w:rsid w:val="006A634B"/>
    <w:rsid w:val="006C357F"/>
    <w:rsid w:val="006D53AF"/>
    <w:rsid w:val="006E5EEF"/>
    <w:rsid w:val="006F2007"/>
    <w:rsid w:val="007035CE"/>
    <w:rsid w:val="0071471F"/>
    <w:rsid w:val="0072252D"/>
    <w:rsid w:val="00725AAA"/>
    <w:rsid w:val="007335E8"/>
    <w:rsid w:val="007A5C4D"/>
    <w:rsid w:val="007A77A5"/>
    <w:rsid w:val="007C4B58"/>
    <w:rsid w:val="007D414D"/>
    <w:rsid w:val="007E6938"/>
    <w:rsid w:val="007F55F3"/>
    <w:rsid w:val="008003EF"/>
    <w:rsid w:val="0080590D"/>
    <w:rsid w:val="00813C60"/>
    <w:rsid w:val="00835887"/>
    <w:rsid w:val="00880156"/>
    <w:rsid w:val="008B3420"/>
    <w:rsid w:val="008C2AF6"/>
    <w:rsid w:val="008C3EC8"/>
    <w:rsid w:val="008D3732"/>
    <w:rsid w:val="00907B58"/>
    <w:rsid w:val="00952212"/>
    <w:rsid w:val="00960FC0"/>
    <w:rsid w:val="009665FE"/>
    <w:rsid w:val="00971051"/>
    <w:rsid w:val="009A4D7B"/>
    <w:rsid w:val="009D3058"/>
    <w:rsid w:val="009E3E3D"/>
    <w:rsid w:val="00A508AD"/>
    <w:rsid w:val="00A56A94"/>
    <w:rsid w:val="00A659B6"/>
    <w:rsid w:val="00A805D8"/>
    <w:rsid w:val="00A81B2D"/>
    <w:rsid w:val="00A91EC5"/>
    <w:rsid w:val="00AC71ED"/>
    <w:rsid w:val="00AE7198"/>
    <w:rsid w:val="00B02388"/>
    <w:rsid w:val="00B20269"/>
    <w:rsid w:val="00B21226"/>
    <w:rsid w:val="00B45FEB"/>
    <w:rsid w:val="00B56516"/>
    <w:rsid w:val="00B707A6"/>
    <w:rsid w:val="00B74976"/>
    <w:rsid w:val="00B92D3E"/>
    <w:rsid w:val="00BC01F8"/>
    <w:rsid w:val="00BD0614"/>
    <w:rsid w:val="00BE2BF6"/>
    <w:rsid w:val="00C17BBA"/>
    <w:rsid w:val="00C24F85"/>
    <w:rsid w:val="00C3533A"/>
    <w:rsid w:val="00C36CA2"/>
    <w:rsid w:val="00C42B3E"/>
    <w:rsid w:val="00C80855"/>
    <w:rsid w:val="00C82B73"/>
    <w:rsid w:val="00C86340"/>
    <w:rsid w:val="00C86D87"/>
    <w:rsid w:val="00CB2B19"/>
    <w:rsid w:val="00CB46EC"/>
    <w:rsid w:val="00CB75AC"/>
    <w:rsid w:val="00CC684F"/>
    <w:rsid w:val="00D03122"/>
    <w:rsid w:val="00D26843"/>
    <w:rsid w:val="00D52F76"/>
    <w:rsid w:val="00D54923"/>
    <w:rsid w:val="00D92C48"/>
    <w:rsid w:val="00DB18E8"/>
    <w:rsid w:val="00DC22B8"/>
    <w:rsid w:val="00DE595C"/>
    <w:rsid w:val="00E13C9E"/>
    <w:rsid w:val="00E17FCF"/>
    <w:rsid w:val="00E34634"/>
    <w:rsid w:val="00E54470"/>
    <w:rsid w:val="00E653F3"/>
    <w:rsid w:val="00E802A8"/>
    <w:rsid w:val="00EA2201"/>
    <w:rsid w:val="00EB1F05"/>
    <w:rsid w:val="00EC13CD"/>
    <w:rsid w:val="00EE1F0B"/>
    <w:rsid w:val="00EE2A22"/>
    <w:rsid w:val="00EF5EBB"/>
    <w:rsid w:val="00F542C6"/>
    <w:rsid w:val="00F831D8"/>
    <w:rsid w:val="00F87A25"/>
    <w:rsid w:val="00F94DD0"/>
    <w:rsid w:val="00FB5AA2"/>
    <w:rsid w:val="00FC1036"/>
    <w:rsid w:val="00FF0C31"/>
    <w:rsid w:val="024F4584"/>
    <w:rsid w:val="09203BCB"/>
    <w:rsid w:val="092F44B4"/>
    <w:rsid w:val="0A1B6E7F"/>
    <w:rsid w:val="0C43767A"/>
    <w:rsid w:val="134B2732"/>
    <w:rsid w:val="13856AF8"/>
    <w:rsid w:val="168B7A65"/>
    <w:rsid w:val="17D825B2"/>
    <w:rsid w:val="181C7D6D"/>
    <w:rsid w:val="18C20978"/>
    <w:rsid w:val="1A8C327B"/>
    <w:rsid w:val="1BB630ED"/>
    <w:rsid w:val="1C4A1A87"/>
    <w:rsid w:val="1CB927D7"/>
    <w:rsid w:val="1EC6203C"/>
    <w:rsid w:val="1EDC24F8"/>
    <w:rsid w:val="20780D0C"/>
    <w:rsid w:val="213D197A"/>
    <w:rsid w:val="21920F22"/>
    <w:rsid w:val="224F1BA5"/>
    <w:rsid w:val="23795451"/>
    <w:rsid w:val="24BA2FE1"/>
    <w:rsid w:val="27200E68"/>
    <w:rsid w:val="27634BA5"/>
    <w:rsid w:val="29272FC4"/>
    <w:rsid w:val="29DA009F"/>
    <w:rsid w:val="29F54FA2"/>
    <w:rsid w:val="2E9B1989"/>
    <w:rsid w:val="32F64B55"/>
    <w:rsid w:val="33DE0FDB"/>
    <w:rsid w:val="345143E7"/>
    <w:rsid w:val="37470BBD"/>
    <w:rsid w:val="378B13A0"/>
    <w:rsid w:val="37FE1C4C"/>
    <w:rsid w:val="38A71C75"/>
    <w:rsid w:val="3C3F01FC"/>
    <w:rsid w:val="3CCA034E"/>
    <w:rsid w:val="3CDA1D68"/>
    <w:rsid w:val="3E3505B9"/>
    <w:rsid w:val="403A7F6C"/>
    <w:rsid w:val="424211B6"/>
    <w:rsid w:val="43335191"/>
    <w:rsid w:val="43477353"/>
    <w:rsid w:val="46304712"/>
    <w:rsid w:val="4CB0552C"/>
    <w:rsid w:val="4EB3343D"/>
    <w:rsid w:val="4F6F20D3"/>
    <w:rsid w:val="4FCB38EB"/>
    <w:rsid w:val="51BE2549"/>
    <w:rsid w:val="51F779E0"/>
    <w:rsid w:val="54196C13"/>
    <w:rsid w:val="557B4484"/>
    <w:rsid w:val="56383675"/>
    <w:rsid w:val="57FE4C28"/>
    <w:rsid w:val="5ACC4974"/>
    <w:rsid w:val="5B9576F5"/>
    <w:rsid w:val="5E192A8C"/>
    <w:rsid w:val="5EC96260"/>
    <w:rsid w:val="61C77B93"/>
    <w:rsid w:val="64236413"/>
    <w:rsid w:val="65816AF0"/>
    <w:rsid w:val="6A360C69"/>
    <w:rsid w:val="6F2474E3"/>
    <w:rsid w:val="6F28733B"/>
    <w:rsid w:val="6F2F65B3"/>
    <w:rsid w:val="706A1A49"/>
    <w:rsid w:val="719C71D9"/>
    <w:rsid w:val="737B26A1"/>
    <w:rsid w:val="7936380A"/>
    <w:rsid w:val="7B6E4062"/>
    <w:rsid w:val="7C3E3B8A"/>
    <w:rsid w:val="7DDE309B"/>
    <w:rsid w:val="7EB10D93"/>
    <w:rsid w:val="7F056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unhideWhenUs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customStyle="1" w:styleId="11">
    <w:name w:val="页眉 字符"/>
    <w:basedOn w:val="9"/>
    <w:link w:val="5"/>
    <w:uiPriority w:val="99"/>
    <w:rPr>
      <w:sz w:val="18"/>
      <w:szCs w:val="18"/>
    </w:rPr>
  </w:style>
  <w:style w:type="character" w:customStyle="1" w:styleId="12">
    <w:name w:val="页脚 字符"/>
    <w:basedOn w:val="9"/>
    <w:link w:val="4"/>
    <w:uiPriority w:val="99"/>
    <w:rPr>
      <w:sz w:val="18"/>
      <w:szCs w:val="18"/>
    </w:rPr>
  </w:style>
  <w:style w:type="character" w:customStyle="1" w:styleId="13">
    <w:name w:val="批注框文本 字符"/>
    <w:basedOn w:val="9"/>
    <w:link w:val="3"/>
    <w:semiHidden/>
    <w:uiPriority w:val="99"/>
    <w:rPr>
      <w:sz w:val="18"/>
      <w:szCs w:val="18"/>
    </w:rPr>
  </w:style>
  <w:style w:type="paragraph" w:styleId="14">
    <w:name w:val="List Paragraph"/>
    <w:basedOn w:val="1"/>
    <w:qFormat/>
    <w:uiPriority w:val="34"/>
    <w:pPr>
      <w:ind w:firstLine="420" w:firstLineChars="200"/>
    </w:pPr>
  </w:style>
  <w:style w:type="character" w:customStyle="1" w:styleId="15">
    <w:name w:val="标题 1 字符"/>
    <w:basedOn w:val="9"/>
    <w:link w:val="2"/>
    <w:uiPriority w:val="9"/>
    <w:rPr>
      <w:rFonts w:ascii="宋体" w:hAnsi="宋体" w:eastAsia="宋体" w:cs="宋体"/>
      <w:b/>
      <w:bCs/>
      <w:kern w:val="36"/>
      <w:sz w:val="48"/>
      <w:szCs w:val="48"/>
    </w:rPr>
  </w:style>
  <w:style w:type="paragraph" w:customStyle="1" w:styleId="16">
    <w:name w:val="arti_metas"/>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arti_publisher"/>
    <w:basedOn w:val="9"/>
    <w:uiPriority w:val="0"/>
  </w:style>
  <w:style w:type="character" w:customStyle="1" w:styleId="18">
    <w:name w:val="arti_update"/>
    <w:basedOn w:val="9"/>
    <w:uiPriority w:val="0"/>
  </w:style>
  <w:style w:type="character" w:customStyle="1" w:styleId="19">
    <w:name w:val="arti_views"/>
    <w:basedOn w:val="9"/>
    <w:uiPriority w:val="0"/>
  </w:style>
  <w:style w:type="character" w:customStyle="1" w:styleId="20">
    <w:name w:val="wp_visitcount"/>
    <w:basedOn w:val="9"/>
    <w:uiPriority w:val="0"/>
  </w:style>
  <w:style w:type="paragraph" w:customStyle="1" w:styleId="21">
    <w:name w:val="p_text_indent_2"/>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2">
    <w:name w:val="apple-converted-space"/>
    <w:basedOn w:val="9"/>
    <w:uiPriority w:val="0"/>
  </w:style>
  <w:style w:type="paragraph" w:customStyle="1" w:styleId="23">
    <w:name w:val="15"/>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大都市">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大都市">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大都市">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7496A-9B65-4B55-B4ED-4E37D94C4F4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400</Words>
  <Characters>2280</Characters>
  <Lines>19</Lines>
  <Paragraphs>5</Paragraphs>
  <TotalTime>2</TotalTime>
  <ScaleCrop>false</ScaleCrop>
  <LinksUpToDate>false</LinksUpToDate>
  <CharactersWithSpaces>2675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2017-12-05T04:26:00Z</dcterms:created>
  <dc:creator>feiwu</dc:creator>
  <cp:lastModifiedBy>陈忠华</cp:lastModifiedBy>
  <dcterms:modified xsi:type="dcterms:W3CDTF">2023-10-25T07:09:23Z</dcterms:modified>
  <cp:revision>332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51ED2E4A5ADB43258E899E576FCCEB35_12</vt:lpwstr>
  </property>
</Properties>
</file>